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7B13" w14:textId="77777777" w:rsidR="00AC0B08" w:rsidRDefault="00966107">
      <w:pPr>
        <w:spacing w:after="137" w:line="259" w:lineRule="auto"/>
        <w:ind w:left="10" w:right="-1" w:hanging="10"/>
        <w:jc w:val="right"/>
      </w:pPr>
      <w:r>
        <w:rPr>
          <w:sz w:val="30"/>
        </w:rPr>
        <w:t>Se radica denuncia</w:t>
      </w:r>
    </w:p>
    <w:p w14:paraId="75948B06" w14:textId="77777777" w:rsidR="00AC0B08" w:rsidRDefault="00966107">
      <w:pPr>
        <w:spacing w:after="155" w:line="265" w:lineRule="auto"/>
        <w:ind w:left="24" w:hanging="10"/>
      </w:pPr>
      <w:r>
        <w:rPr>
          <w:sz w:val="30"/>
        </w:rPr>
        <w:t>Fiscalía Penal de Delitos Económicos y Complejos</w:t>
      </w:r>
    </w:p>
    <w:p w14:paraId="5EA66096" w14:textId="77777777" w:rsidR="00AC0B08" w:rsidRDefault="00966107">
      <w:pPr>
        <w:spacing w:after="155" w:line="265" w:lineRule="auto"/>
        <w:ind w:left="24" w:hanging="10"/>
      </w:pPr>
      <w:r>
        <w:rPr>
          <w:sz w:val="30"/>
        </w:rPr>
        <w:t xml:space="preserve">Daniel </w:t>
      </w:r>
      <w:proofErr w:type="spellStart"/>
      <w:r>
        <w:rPr>
          <w:sz w:val="30"/>
        </w:rPr>
        <w:t>Caggiani</w:t>
      </w:r>
      <w:proofErr w:type="spellEnd"/>
      <w:r>
        <w:rPr>
          <w:sz w:val="30"/>
        </w:rPr>
        <w:t>, Cl. 3.785.591-1, Gustavo Nelson Olmos Flores, Cl.</w:t>
      </w:r>
    </w:p>
    <w:p w14:paraId="2FD43AA0" w14:textId="77777777" w:rsidR="00AC0B08" w:rsidRDefault="00966107">
      <w:pPr>
        <w:spacing w:after="155" w:line="265" w:lineRule="auto"/>
        <w:ind w:left="24" w:hanging="10"/>
      </w:pPr>
      <w:r>
        <w:rPr>
          <w:sz w:val="30"/>
        </w:rPr>
        <w:t xml:space="preserve">1.701.931-1, Gabriela Barreiro, Cl. 1.744.948.7 y </w:t>
      </w:r>
      <w:proofErr w:type="spellStart"/>
      <w:r>
        <w:rPr>
          <w:sz w:val="30"/>
        </w:rPr>
        <w:t>Angel</w:t>
      </w:r>
      <w:proofErr w:type="spellEnd"/>
      <w:r>
        <w:rPr>
          <w:sz w:val="30"/>
        </w:rPr>
        <w:t xml:space="preserve"> Mariano Tucci</w:t>
      </w:r>
    </w:p>
    <w:p w14:paraId="7BD9E7AF" w14:textId="77777777" w:rsidR="00AC0B08" w:rsidRDefault="00966107">
      <w:pPr>
        <w:spacing w:after="3" w:line="372" w:lineRule="auto"/>
        <w:ind w:left="17" w:right="14" w:hanging="3"/>
      </w:pPr>
      <w:r>
        <w:rPr>
          <w:sz w:val="28"/>
        </w:rPr>
        <w:t xml:space="preserve">Montes de oca, Cl. 3.103.476-5, Carlos </w:t>
      </w:r>
      <w:proofErr w:type="spellStart"/>
      <w:r>
        <w:rPr>
          <w:sz w:val="28"/>
        </w:rPr>
        <w:t>Coitiño</w:t>
      </w:r>
      <w:proofErr w:type="spellEnd"/>
      <w:r>
        <w:rPr>
          <w:sz w:val="28"/>
        </w:rPr>
        <w:t>, Cl. 1562.267-3, Claudia Cecilia Hugo Iborra, Cl. 1.231.772-8, Constante Rogelio Mendiondo</w:t>
      </w:r>
    </w:p>
    <w:p w14:paraId="719A236D" w14:textId="77777777" w:rsidR="00AC0B08" w:rsidRDefault="00966107">
      <w:pPr>
        <w:spacing w:after="142" w:line="259" w:lineRule="auto"/>
        <w:ind w:right="14" w:firstLine="0"/>
      </w:pPr>
      <w:r>
        <w:t>Sorondo, Cl. 1.925.371-3, Ubaldo Pascual Aita Ma</w:t>
      </w:r>
      <w:r>
        <w:t>idana, Cl. 1.672.283-6,</w:t>
      </w:r>
    </w:p>
    <w:p w14:paraId="414DFA5E" w14:textId="77777777" w:rsidR="00AC0B08" w:rsidRDefault="00966107">
      <w:pPr>
        <w:spacing w:after="168" w:line="259" w:lineRule="auto"/>
        <w:ind w:left="17" w:right="14" w:hanging="3"/>
      </w:pPr>
      <w:proofErr w:type="spellStart"/>
      <w:r>
        <w:rPr>
          <w:sz w:val="28"/>
        </w:rPr>
        <w:t>Veronica</w:t>
      </w:r>
      <w:proofErr w:type="spellEnd"/>
      <w:r>
        <w:rPr>
          <w:sz w:val="28"/>
        </w:rPr>
        <w:t xml:space="preserve"> Leticia Mato Correa, Cl. 3.991.717-1, </w:t>
      </w:r>
      <w:proofErr w:type="spellStart"/>
      <w:r>
        <w:rPr>
          <w:sz w:val="28"/>
        </w:rPr>
        <w:t>Hebert</w:t>
      </w:r>
      <w:proofErr w:type="spellEnd"/>
      <w:r>
        <w:rPr>
          <w:sz w:val="28"/>
        </w:rPr>
        <w:t xml:space="preserve"> Eduardo Antonini</w:t>
      </w:r>
    </w:p>
    <w:p w14:paraId="678AC608" w14:textId="77777777" w:rsidR="00AC0B08" w:rsidRDefault="00966107">
      <w:pPr>
        <w:spacing w:after="155" w:line="265" w:lineRule="auto"/>
        <w:ind w:left="24" w:hanging="10"/>
      </w:pPr>
      <w:proofErr w:type="spellStart"/>
      <w:r>
        <w:rPr>
          <w:sz w:val="30"/>
        </w:rPr>
        <w:t>Perez</w:t>
      </w:r>
      <w:proofErr w:type="spellEnd"/>
      <w:r>
        <w:rPr>
          <w:sz w:val="30"/>
        </w:rPr>
        <w:t>, Cl. 3.686.657- 5, José Antonio Maldonado Sánchez,</w:t>
      </w:r>
    </w:p>
    <w:p w14:paraId="51DC1199" w14:textId="77777777" w:rsidR="00AC0B08" w:rsidRDefault="00966107">
      <w:pPr>
        <w:ind w:right="14" w:firstLine="14"/>
      </w:pPr>
      <w:r>
        <w:t xml:space="preserve">Cl. 3.555.871-1 y Felipe Carballo, Cl. 3.988.499-6, María Cristina </w:t>
      </w:r>
      <w:proofErr w:type="spellStart"/>
      <w:r>
        <w:t>Lustemberg</w:t>
      </w:r>
      <w:proofErr w:type="spellEnd"/>
      <w:r>
        <w:t xml:space="preserve"> Haro, Cl. 1.737.112-5, tod</w:t>
      </w:r>
      <w:r>
        <w:t>os con domicilio laboral en Avenida de las Leyes S/N (Palacio Legislativo- Bancada de Diputados del Frente Amplio), a esta Fiscalía nos presentamos y DECIMOS:</w:t>
      </w:r>
    </w:p>
    <w:p w14:paraId="029BFB9E" w14:textId="77777777" w:rsidR="00AC0B08" w:rsidRDefault="00966107">
      <w:pPr>
        <w:spacing w:after="8" w:line="362" w:lineRule="auto"/>
        <w:ind w:firstLine="713"/>
      </w:pPr>
      <w:r>
        <w:rPr>
          <w:sz w:val="30"/>
        </w:rPr>
        <w:t>Que venimos a presentar denuncia penal con relación a hechos aparentemente delictivos que involuc</w:t>
      </w:r>
      <w:r>
        <w:rPr>
          <w:sz w:val="30"/>
        </w:rPr>
        <w:t>ran al Sr. Germán Cardoso</w:t>
      </w:r>
    </w:p>
    <w:p w14:paraId="3510987E" w14:textId="77777777" w:rsidR="00AC0B08" w:rsidRDefault="00966107">
      <w:pPr>
        <w:spacing w:after="3" w:line="329" w:lineRule="auto"/>
        <w:ind w:left="17" w:right="14" w:hanging="3"/>
      </w:pPr>
      <w:r>
        <w:rPr>
          <w:sz w:val="28"/>
        </w:rPr>
        <w:t>Ferreira, con domicilio en Avda. de las Leyes (Edificio Anexo del Palacio Legislativo), Montevideo, en merito a los siguientes fundamentos de hecho y de derecho que pasamos a desarrollar.</w:t>
      </w:r>
    </w:p>
    <w:p w14:paraId="58B6E72D" w14:textId="77777777" w:rsidR="00AC0B08" w:rsidRDefault="00966107">
      <w:pPr>
        <w:spacing w:after="111" w:line="259" w:lineRule="auto"/>
        <w:ind w:left="10" w:right="-1" w:hanging="10"/>
        <w:jc w:val="right"/>
      </w:pPr>
      <w:r>
        <w:rPr>
          <w:sz w:val="30"/>
        </w:rPr>
        <w:t xml:space="preserve">1. COMPETENCIA DE LA </w:t>
      </w:r>
      <w:proofErr w:type="spellStart"/>
      <w:r>
        <w:rPr>
          <w:sz w:val="30"/>
        </w:rPr>
        <w:t>FISCALíA</w:t>
      </w:r>
      <w:proofErr w:type="spellEnd"/>
      <w:r>
        <w:rPr>
          <w:sz w:val="30"/>
        </w:rPr>
        <w:t xml:space="preserve"> DE DELITOS ECONÓMICOS</w:t>
      </w:r>
    </w:p>
    <w:p w14:paraId="7BCF8C2D" w14:textId="77777777" w:rsidR="00AC0B08" w:rsidRDefault="00966107">
      <w:pPr>
        <w:spacing w:after="61" w:line="265" w:lineRule="auto"/>
        <w:ind w:left="1076" w:hanging="10"/>
      </w:pPr>
      <w:r>
        <w:rPr>
          <w:sz w:val="30"/>
        </w:rPr>
        <w:t>Y COMPLEJOS E INTRODUCCIÓN</w:t>
      </w:r>
    </w:p>
    <w:p w14:paraId="64418A97" w14:textId="77777777" w:rsidR="00AC0B08" w:rsidRDefault="00966107">
      <w:pPr>
        <w:spacing w:after="104" w:line="259" w:lineRule="auto"/>
        <w:ind w:left="0" w:right="22" w:firstLine="0"/>
        <w:jc w:val="right"/>
      </w:pPr>
      <w:r>
        <w:rPr>
          <w:sz w:val="28"/>
        </w:rPr>
        <w:lastRenderedPageBreak/>
        <w:t>1c Ante todo, cabe señalar que la competencia de la Fiscalía de</w:t>
      </w:r>
    </w:p>
    <w:p w14:paraId="416EA097" w14:textId="77777777" w:rsidR="00AC0B08" w:rsidRDefault="00966107">
      <w:pPr>
        <w:spacing w:line="314" w:lineRule="auto"/>
        <w:ind w:right="14" w:firstLine="7"/>
      </w:pPr>
      <w:r>
        <w:t xml:space="preserve">Delitos Económicos y Complejos luce prístinamente determinada por el Literal E del </w:t>
      </w:r>
      <w:proofErr w:type="spellStart"/>
      <w:r>
        <w:t>Nral</w:t>
      </w:r>
      <w:proofErr w:type="spellEnd"/>
      <w:r>
        <w:t xml:space="preserve">. 2 de la Resolución Nro. </w:t>
      </w:r>
      <w:r>
        <w:t>850/2017, de 18 de diciembre de</w:t>
      </w:r>
    </w:p>
    <w:p w14:paraId="4C13A39C" w14:textId="77777777" w:rsidR="00AC0B08" w:rsidRDefault="00966107">
      <w:pPr>
        <w:spacing w:after="3" w:line="259" w:lineRule="auto"/>
        <w:ind w:left="17" w:right="14" w:hanging="3"/>
      </w:pPr>
      <w:r>
        <w:rPr>
          <w:sz w:val="28"/>
        </w:rPr>
        <w:t xml:space="preserve">2017, de </w:t>
      </w:r>
      <w:proofErr w:type="gramStart"/>
      <w:r>
        <w:rPr>
          <w:sz w:val="28"/>
        </w:rPr>
        <w:t>Fiscalía General</w:t>
      </w:r>
      <w:proofErr w:type="gramEnd"/>
      <w:r>
        <w:rPr>
          <w:sz w:val="28"/>
        </w:rPr>
        <w:t xml:space="preserve"> de la Nación en tanto la presente denuncia versa</w:t>
      </w:r>
    </w:p>
    <w:p w14:paraId="287880F3" w14:textId="77777777" w:rsidR="00AC0B08" w:rsidRDefault="00966107">
      <w:pPr>
        <w:spacing w:after="50"/>
        <w:ind w:right="14" w:firstLine="22"/>
      </w:pPr>
      <w:r>
        <w:t xml:space="preserve">sobre presuntos delitos contra la administración pública, por un </w:t>
      </w:r>
      <w:r>
        <w:rPr>
          <w:u w:val="single" w:color="000000"/>
        </w:rPr>
        <w:t>monto estimado de varias decenas de millones de pesos</w:t>
      </w:r>
      <w:r>
        <w:t xml:space="preserve">, siendo la competencia de las </w:t>
      </w:r>
      <w:r>
        <w:t>Fiscalías de Flagrancia absolutamente residual ante la competencia especializada la Fiscalía ante la cual se radica la presente denuncia.</w:t>
      </w:r>
    </w:p>
    <w:p w14:paraId="31F7A59F" w14:textId="77777777" w:rsidR="00AC0B08" w:rsidRDefault="00966107">
      <w:pPr>
        <w:spacing w:line="315" w:lineRule="auto"/>
        <w:ind w:right="14"/>
      </w:pPr>
      <w:r>
        <w:t>Establecida la indudable competencia de la referida Fiscalía, pasemos ahora a relatar los graves hechos denunciados.</w:t>
      </w:r>
    </w:p>
    <w:p w14:paraId="04999936" w14:textId="77777777" w:rsidR="00AC0B08" w:rsidRDefault="00966107">
      <w:pPr>
        <w:spacing w:after="40"/>
        <w:ind w:right="14"/>
      </w:pPr>
      <w:r>
        <w:rPr>
          <w:noProof/>
        </w:rPr>
        <w:drawing>
          <wp:inline distT="0" distB="0" distL="0" distR="0" wp14:anchorId="7CC1FC5A" wp14:editId="38FAFA4A">
            <wp:extent cx="182880" cy="132588"/>
            <wp:effectExtent l="0" t="0" r="0" b="0"/>
            <wp:docPr id="61960" name="Picture 61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0" name="Picture 619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La presente denuncia refiere a diversas actuaciones perpetradas por el Sr. Germán Cardoso Ferreira, en su condición de </w:t>
      </w:r>
      <w:proofErr w:type="gramStart"/>
      <w:r>
        <w:t>Ministro</w:t>
      </w:r>
      <w:proofErr w:type="gramEnd"/>
      <w:r>
        <w:t xml:space="preserve"> de Turismo, el cual ejerció desde el primero de marzo de 2020 al 20 de agosto de 2021, cuando el mismo renunció al cargo mencion</w:t>
      </w:r>
      <w:r>
        <w:t>ado.</w:t>
      </w:r>
    </w:p>
    <w:p w14:paraId="139754EF" w14:textId="77777777" w:rsidR="00AC0B08" w:rsidRDefault="00966107">
      <w:pPr>
        <w:ind w:right="14"/>
      </w:pPr>
      <w:r>
        <w:t xml:space="preserve">Como resulta público y notorio, una serie de hechos en los que el principal involucrado es el Sr. Germán Cardoso fueron denunciados públicamente por el ex </w:t>
      </w:r>
      <w:proofErr w:type="gramStart"/>
      <w:r>
        <w:t>Director</w:t>
      </w:r>
      <w:proofErr w:type="gramEnd"/>
      <w:r>
        <w:t xml:space="preserve"> de Turismo, Dr. Martín Pérez Banchero hace algunas semanas, los mismos generaron gran t</w:t>
      </w:r>
      <w:r>
        <w:t>rascendencia y preocupación pública, motivo que sustenta que sean investigados a los efectos dilucidar las eventuales responsabilidades penales correspondientes.</w:t>
      </w:r>
    </w:p>
    <w:p w14:paraId="2FA1FDA9" w14:textId="77777777" w:rsidR="00AC0B08" w:rsidRDefault="00966107">
      <w:pPr>
        <w:spacing w:after="18" w:line="405" w:lineRule="auto"/>
        <w:ind w:left="-8" w:right="64" w:firstLine="706"/>
      </w:pPr>
      <w:r>
        <w:rPr>
          <w:noProof/>
        </w:rPr>
        <w:lastRenderedPageBreak/>
        <w:drawing>
          <wp:inline distT="0" distB="0" distL="0" distR="0" wp14:anchorId="0F60AA73" wp14:editId="0A77AEC9">
            <wp:extent cx="178308" cy="137160"/>
            <wp:effectExtent l="0" t="0" r="0" b="0"/>
            <wp:docPr id="61962" name="Picture 61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2" name="Picture 619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En relación al</w:t>
      </w:r>
      <w:proofErr w:type="gramEnd"/>
      <w:r>
        <w:t xml:space="preserve"> concepto penal de Administración </w:t>
      </w:r>
      <w:proofErr w:type="spellStart"/>
      <w:r>
        <w:t>Publica</w:t>
      </w:r>
      <w:proofErr w:type="spellEnd"/>
      <w:r>
        <w:t xml:space="preserve">, el Profesor Milton </w:t>
      </w:r>
      <w:proofErr w:type="spellStart"/>
      <w:r>
        <w:t>Cairoli</w:t>
      </w:r>
      <w:proofErr w:type="spellEnd"/>
      <w:r>
        <w:t xml:space="preserve"> </w:t>
      </w:r>
      <w:r>
        <w:rPr>
          <w:vertAlign w:val="superscript"/>
        </w:rPr>
        <w:t xml:space="preserve">l </w:t>
      </w:r>
      <w:r>
        <w:t>manifie</w:t>
      </w:r>
      <w:r>
        <w:t xml:space="preserve">sta que: "Del mismo modo que la totalidad de </w:t>
      </w:r>
      <w:r>
        <w:rPr>
          <w:rFonts w:ascii="Times New Roman" w:eastAsia="Times New Roman" w:hAnsi="Times New Roman" w:cs="Times New Roman"/>
        </w:rPr>
        <w:t>la doctrina nacional, opino que el concepto penal de Administración Pública debe ser amplio, que comprenda toda clase de actividad funcional del</w:t>
      </w:r>
    </w:p>
    <w:p w14:paraId="748D1602" w14:textId="77777777" w:rsidR="00AC0B08" w:rsidRDefault="00966107">
      <w:pPr>
        <w:spacing w:after="3" w:line="434" w:lineRule="auto"/>
        <w:ind w:left="2" w:right="64" w:hanging="10"/>
      </w:pPr>
      <w:r>
        <w:rPr>
          <w:rFonts w:ascii="Times New Roman" w:eastAsia="Times New Roman" w:hAnsi="Times New Roman" w:cs="Times New Roman"/>
        </w:rPr>
        <w:t>Estado, municipios y otros entes públicos, por lo que se extiende a las funciones de los tres poderes del Estado.... En conclusión, la Administración</w:t>
      </w:r>
    </w:p>
    <w:p w14:paraId="63922DDB" w14:textId="77777777" w:rsidR="00AC0B08" w:rsidRDefault="00966107">
      <w:pPr>
        <w:spacing w:after="247" w:line="259" w:lineRule="auto"/>
        <w:ind w:left="2" w:right="64" w:hanging="10"/>
      </w:pPr>
      <w:r>
        <w:rPr>
          <w:rFonts w:ascii="Times New Roman" w:eastAsia="Times New Roman" w:hAnsi="Times New Roman" w:cs="Times New Roman"/>
        </w:rPr>
        <w:t>Pública así entendida queda penalmente protegida no solo con relación a los</w:t>
      </w:r>
    </w:p>
    <w:p w14:paraId="79F61062" w14:textId="77777777" w:rsidR="00AC0B08" w:rsidRDefault="00966107">
      <w:pPr>
        <w:spacing w:before="25" w:after="42" w:line="216" w:lineRule="auto"/>
        <w:ind w:left="290" w:hanging="1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79008E" wp14:editId="39170F85">
                <wp:simplePos x="0" y="0"/>
                <wp:positionH relativeFrom="column">
                  <wp:posOffset>-9143</wp:posOffset>
                </wp:positionH>
                <wp:positionV relativeFrom="paragraph">
                  <wp:posOffset>-82451</wp:posOffset>
                </wp:positionV>
                <wp:extent cx="1307592" cy="13716"/>
                <wp:effectExtent l="0" t="0" r="0" b="0"/>
                <wp:wrapNone/>
                <wp:docPr id="61965" name="Group 61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592" cy="13716"/>
                          <a:chOff x="0" y="0"/>
                          <a:chExt cx="1307592" cy="13716"/>
                        </a:xfrm>
                      </wpg:grpSpPr>
                      <wps:wsp>
                        <wps:cNvPr id="61964" name="Shape 61964"/>
                        <wps:cNvSpPr/>
                        <wps:spPr>
                          <a:xfrm>
                            <a:off x="0" y="0"/>
                            <a:ext cx="13075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2" h="13716">
                                <a:moveTo>
                                  <a:pt x="0" y="6858"/>
                                </a:moveTo>
                                <a:lnTo>
                                  <a:pt x="130759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965" style="width:102.96pt;height:1.08002pt;position:absolute;z-index:-2147483648;mso-position-horizontal-relative:text;mso-position-horizontal:absolute;margin-left:-0.720001pt;mso-position-vertical-relative:text;margin-top:-6.49231pt;" coordsize="13075,137">
                <v:shape id="Shape 61964" style="position:absolute;width:13075;height:137;left:0;top:0;" coordsize="1307592,13716" path="m0,6858l1307592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proofErr w:type="spellStart"/>
      <w:r>
        <w:rPr>
          <w:sz w:val="22"/>
        </w:rPr>
        <w:t>Cairoli</w:t>
      </w:r>
      <w:proofErr w:type="spellEnd"/>
      <w:r>
        <w:rPr>
          <w:sz w:val="22"/>
        </w:rPr>
        <w:t>, Milton: Derecho Pena</w:t>
      </w:r>
      <w:r>
        <w:rPr>
          <w:sz w:val="22"/>
        </w:rPr>
        <w:t>l Uruguayo, Tomo ll, Volumen 3 — Volumen 4, Segunda Edición Actualizada. Pág. 1201.</w:t>
      </w:r>
    </w:p>
    <w:p w14:paraId="6FDF7A08" w14:textId="77777777" w:rsidR="00AC0B08" w:rsidRDefault="00966107">
      <w:pPr>
        <w:spacing w:after="0" w:line="406" w:lineRule="auto"/>
        <w:ind w:left="0" w:firstLine="0"/>
        <w:jc w:val="center"/>
      </w:pPr>
      <w:r>
        <w:t xml:space="preserve">hechos que son contrarios a ella y que son cometidos por particulares, sino </w:t>
      </w:r>
      <w:r>
        <w:rPr>
          <w:rFonts w:ascii="Times New Roman" w:eastAsia="Times New Roman" w:hAnsi="Times New Roman" w:cs="Times New Roman"/>
        </w:rPr>
        <w:t>también contra los abusos de los oficiales públicos o de los encargados de</w:t>
      </w:r>
    </w:p>
    <w:p w14:paraId="6B597D9D" w14:textId="77777777" w:rsidR="00AC0B08" w:rsidRDefault="00966107">
      <w:pPr>
        <w:spacing w:after="62" w:line="401" w:lineRule="auto"/>
        <w:ind w:left="-12" w:right="-1" w:hanging="3"/>
        <w:jc w:val="left"/>
      </w:pPr>
      <w:r>
        <w:rPr>
          <w:sz w:val="18"/>
        </w:rPr>
        <w:t xml:space="preserve">servicios públicos y </w:t>
      </w:r>
      <w:r>
        <w:rPr>
          <w:sz w:val="18"/>
        </w:rPr>
        <w:t xml:space="preserve">que son cometidos en perjuicio de la administración o de </w:t>
      </w:r>
      <w:r>
        <w:rPr>
          <w:rFonts w:ascii="Times New Roman" w:eastAsia="Times New Roman" w:hAnsi="Times New Roman" w:cs="Times New Roman"/>
          <w:sz w:val="18"/>
        </w:rPr>
        <w:t>los particulares...".</w:t>
      </w:r>
    </w:p>
    <w:p w14:paraId="6334E1D9" w14:textId="77777777" w:rsidR="00AC0B08" w:rsidRDefault="00966107">
      <w:pPr>
        <w:ind w:right="14"/>
      </w:pPr>
      <w:r>
        <w:t>42_- En la presente denuncia, enunciaremos una serie de actos llevados adelante por el denunciado durante el ejercicio ministerial que a nuestro entender han dañado la Administr</w:t>
      </w:r>
      <w:r>
        <w:t xml:space="preserve">ación Pública, al Estado, al punto de que los mismos fueron puestos de manifiesto en diversos medios de prensa por el ex </w:t>
      </w:r>
      <w:proofErr w:type="gramStart"/>
      <w:r>
        <w:t>Director</w:t>
      </w:r>
      <w:proofErr w:type="gramEnd"/>
      <w:r>
        <w:t xml:space="preserve"> de Turismo, Martín Pérez Banchero, número tres de la cartera, el cual fuera removido por el propio denunciado.</w:t>
      </w:r>
    </w:p>
    <w:p w14:paraId="7EC93EBC" w14:textId="77777777" w:rsidR="00AC0B08" w:rsidRDefault="00966107">
      <w:pPr>
        <w:spacing w:after="73" w:line="265" w:lineRule="auto"/>
        <w:ind w:left="1066" w:hanging="360"/>
      </w:pPr>
      <w:r>
        <w:rPr>
          <w:sz w:val="30"/>
        </w:rPr>
        <w:t>2. DE LA ARBITR</w:t>
      </w:r>
      <w:r>
        <w:rPr>
          <w:sz w:val="30"/>
        </w:rPr>
        <w:t xml:space="preserve">ARIEDAD DE </w:t>
      </w:r>
      <w:r>
        <w:rPr>
          <w:sz w:val="30"/>
          <w:u w:val="single" w:color="000000"/>
        </w:rPr>
        <w:t xml:space="preserve">UTILIZAR AL MECANISMO DE </w:t>
      </w:r>
      <w:r>
        <w:rPr>
          <w:sz w:val="30"/>
        </w:rPr>
        <w:t>COMPRA DIRECTA COMO REGLA Y NO COMO EXCEPCIÓN</w:t>
      </w:r>
    </w:p>
    <w:p w14:paraId="0978AAA3" w14:textId="77777777" w:rsidR="00AC0B08" w:rsidRDefault="00966107">
      <w:pPr>
        <w:spacing w:after="72" w:line="259" w:lineRule="auto"/>
        <w:ind w:left="1061" w:hanging="10"/>
      </w:pPr>
      <w:r>
        <w:rPr>
          <w:sz w:val="32"/>
          <w:u w:val="single" w:color="000000"/>
        </w:rPr>
        <w:t>SIN "FUNDAMENTO DETALLADO" ALGUNO SIN CERTIFICACIÓN DEL GASTO POR PARTE DEL MEF Y FLAGRANTE VIOLACIÓN A LO DISPUESTO POR EL</w:t>
      </w:r>
    </w:p>
    <w:p w14:paraId="7536D7E6" w14:textId="77777777" w:rsidR="00AC0B08" w:rsidRDefault="00966107">
      <w:pPr>
        <w:spacing w:after="157" w:line="259" w:lineRule="auto"/>
        <w:ind w:left="1061" w:hanging="10"/>
      </w:pPr>
      <w:proofErr w:type="spellStart"/>
      <w:r>
        <w:rPr>
          <w:sz w:val="32"/>
          <w:u w:val="single" w:color="000000"/>
        </w:rPr>
        <w:lastRenderedPageBreak/>
        <w:t>ARTíCULO</w:t>
      </w:r>
      <w:proofErr w:type="spellEnd"/>
      <w:r>
        <w:rPr>
          <w:sz w:val="32"/>
          <w:u w:val="single" w:color="000000"/>
        </w:rPr>
        <w:t xml:space="preserve"> 33 DEL TOCAF</w:t>
      </w:r>
    </w:p>
    <w:p w14:paraId="54058498" w14:textId="77777777" w:rsidR="00AC0B08" w:rsidRDefault="00966107">
      <w:pPr>
        <w:ind w:right="14"/>
      </w:pPr>
      <w:r>
        <w:t>5.- Comenzando a enumerar los hechos en los que se vio involucrado el denunciado, el Dr. Martín Pérez Banchero</w:t>
      </w:r>
      <w:r>
        <w:t xml:space="preserve"> en referencia a las compras que se realizaron en la cartera de Turismo cuando el ministro era el Sr. Germán Cardoso, afirmó al Semanario Busqueda</w:t>
      </w:r>
      <w:r>
        <w:rPr>
          <w:vertAlign w:val="superscript"/>
        </w:rPr>
        <w:t xml:space="preserve">2 </w:t>
      </w:r>
      <w:r>
        <w:t>que "Todo se hace por compra</w:t>
      </w:r>
    </w:p>
    <w:p w14:paraId="72BCA6BD" w14:textId="77777777" w:rsidR="00AC0B08" w:rsidRDefault="00966107">
      <w:pPr>
        <w:spacing w:after="346" w:line="360" w:lineRule="auto"/>
        <w:ind w:left="-5" w:right="-11" w:hanging="10"/>
      </w:pPr>
      <w:r>
        <w:rPr>
          <w:rFonts w:ascii="Times New Roman" w:eastAsia="Times New Roman" w:hAnsi="Times New Roman" w:cs="Times New Roman"/>
          <w:sz w:val="30"/>
        </w:rPr>
        <w:t xml:space="preserve">directa por excepción, e inclusive la misma compra directa por excepción tampoco se hace a tenor de lo que dice el </w:t>
      </w:r>
      <w:proofErr w:type="spellStart"/>
      <w:r>
        <w:rPr>
          <w:rFonts w:ascii="Times New Roman" w:eastAsia="Times New Roman" w:hAnsi="Times New Roman" w:cs="Times New Roman"/>
          <w:sz w:val="30"/>
        </w:rPr>
        <w:t>Tocaf</w:t>
      </w:r>
      <w:proofErr w:type="spellEnd"/>
      <w:r>
        <w:rPr>
          <w:rFonts w:ascii="Times New Roman" w:eastAsia="Times New Roman" w:hAnsi="Times New Roman" w:cs="Times New Roman"/>
          <w:sz w:val="30"/>
        </w:rPr>
        <w:t>. Tiene que</w:t>
      </w:r>
    </w:p>
    <w:p w14:paraId="4A55939A" w14:textId="77777777" w:rsidR="00AC0B08" w:rsidRDefault="00966107">
      <w:pPr>
        <w:spacing w:before="17" w:after="42" w:line="216" w:lineRule="auto"/>
        <w:ind w:left="290" w:hanging="1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BB232E" wp14:editId="5A416896">
                <wp:simplePos x="0" y="0"/>
                <wp:positionH relativeFrom="column">
                  <wp:posOffset>-9143</wp:posOffset>
                </wp:positionH>
                <wp:positionV relativeFrom="paragraph">
                  <wp:posOffset>-74626</wp:posOffset>
                </wp:positionV>
                <wp:extent cx="1312164" cy="9144"/>
                <wp:effectExtent l="0" t="0" r="0" b="0"/>
                <wp:wrapNone/>
                <wp:docPr id="61969" name="Group 61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164" cy="9144"/>
                          <a:chOff x="0" y="0"/>
                          <a:chExt cx="1312164" cy="9144"/>
                        </a:xfrm>
                      </wpg:grpSpPr>
                      <wps:wsp>
                        <wps:cNvPr id="61968" name="Shape 61968"/>
                        <wps:cNvSpPr/>
                        <wps:spPr>
                          <a:xfrm>
                            <a:off x="0" y="0"/>
                            <a:ext cx="1312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4" h="9144">
                                <a:moveTo>
                                  <a:pt x="0" y="4572"/>
                                </a:moveTo>
                                <a:lnTo>
                                  <a:pt x="13121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969" style="width:103.32pt;height:0.720032pt;position:absolute;z-index:-2147483648;mso-position-horizontal-relative:text;mso-position-horizontal:absolute;margin-left:-0.720001pt;mso-position-vertical-relative:text;margin-top:-5.87616pt;" coordsize="13121,91">
                <v:shape id="Shape 61968" style="position:absolute;width:13121;height:91;left:0;top:0;" coordsize="1312164,9144" path="m0,4572l1312164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2"/>
        </w:rPr>
        <w:t xml:space="preserve">Semanario Búsqueda. N </w:t>
      </w:r>
      <w:r>
        <w:rPr>
          <w:sz w:val="22"/>
          <w:vertAlign w:val="superscript"/>
        </w:rPr>
        <w:t xml:space="preserve">O </w:t>
      </w:r>
      <w:r>
        <w:rPr>
          <w:sz w:val="22"/>
        </w:rPr>
        <w:t>2135 — 12 al 18 de agosto de 2021</w:t>
      </w:r>
    </w:p>
    <w:p w14:paraId="500C46FF" w14:textId="77777777" w:rsidR="00AC0B08" w:rsidRDefault="00966107">
      <w:pPr>
        <w:spacing w:after="42" w:line="216" w:lineRule="auto"/>
        <w:ind w:left="290" w:hanging="10"/>
        <w:jc w:val="left"/>
      </w:pPr>
      <w:r>
        <w:rPr>
          <w:rFonts w:ascii="Times New Roman" w:eastAsia="Times New Roman" w:hAnsi="Times New Roman" w:cs="Times New Roman"/>
          <w:sz w:val="22"/>
        </w:rPr>
        <w:t>(https://www.busqueda.com.uy/Secciones/Director-de-Turismo-dice-q</w:t>
      </w:r>
      <w:r>
        <w:rPr>
          <w:rFonts w:ascii="Times New Roman" w:eastAsia="Times New Roman" w:hAnsi="Times New Roman" w:cs="Times New Roman"/>
          <w:sz w:val="22"/>
        </w:rPr>
        <w:t>ue-el-ministro-pidio</w:t>
      </w:r>
      <w:r>
        <w:rPr>
          <w:sz w:val="22"/>
        </w:rPr>
        <w:t>que-lo-echen-porque-no-quiso-firmar-compras-directas-que-incumplian-con-las-normasuc48912)</w:t>
      </w:r>
    </w:p>
    <w:p w14:paraId="020C8C7E" w14:textId="77777777" w:rsidR="00AC0B08" w:rsidRDefault="00966107">
      <w:pPr>
        <w:spacing w:after="62" w:line="336" w:lineRule="auto"/>
        <w:ind w:left="-12" w:right="-1" w:hanging="3"/>
        <w:jc w:val="left"/>
      </w:pPr>
      <w:r>
        <w:rPr>
          <w:sz w:val="18"/>
        </w:rPr>
        <w:t>haber una certificación del Ministerio de Economía y Finanzas que no se hace"</w:t>
      </w:r>
    </w:p>
    <w:p w14:paraId="367667CF" w14:textId="77777777" w:rsidR="00AC0B08" w:rsidRDefault="00966107">
      <w:pPr>
        <w:spacing w:after="44"/>
        <w:ind w:right="14"/>
      </w:pPr>
      <w:r>
        <w:rPr>
          <w:noProof/>
        </w:rPr>
        <w:drawing>
          <wp:inline distT="0" distB="0" distL="0" distR="0" wp14:anchorId="1A562A45" wp14:editId="76A0627E">
            <wp:extent cx="182880" cy="132588"/>
            <wp:effectExtent l="0" t="0" r="0" b="0"/>
            <wp:docPr id="61973" name="Picture 61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3" name="Picture 619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Sobre este punto, resulta ineludible señalar que el TOCAF prevé en</w:t>
      </w:r>
      <w:r>
        <w:t xml:space="preserve"> su artículo 33, literal c, que las contrataciones podrán ser realizadas </w:t>
      </w:r>
      <w:r>
        <w:t xml:space="preserve">"Directamente o por el procedimiento que el ordenador determine por razones de buena administración, en los siguientes casos </w:t>
      </w:r>
      <w:r>
        <w:rPr>
          <w:u w:val="single" w:color="000000"/>
        </w:rPr>
        <w:t>de excepción</w:t>
      </w:r>
      <w:r>
        <w:t>.</w:t>
      </w:r>
      <w:r>
        <w:rPr>
          <w:noProof/>
        </w:rPr>
        <w:drawing>
          <wp:inline distT="0" distB="0" distL="0" distR="0" wp14:anchorId="01EF7C48" wp14:editId="5B7F770C">
            <wp:extent cx="160020" cy="114300"/>
            <wp:effectExtent l="0" t="0" r="0" b="0"/>
            <wp:docPr id="61975" name="Picture 61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5" name="Picture 619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94637" w14:textId="77777777" w:rsidR="00AC0B08" w:rsidRDefault="00966107">
      <w:pPr>
        <w:spacing w:after="29"/>
        <w:ind w:right="14"/>
      </w:pPr>
      <w:r>
        <w:t>A continuación, el artículo mencionado esta</w:t>
      </w:r>
      <w:r>
        <w:t xml:space="preserve">blece actualmente 36 numerales donde la administración puede recurrir a la misma, previéndose para el numeral 10, "Cuando medien probadas razones de urgencia no </w:t>
      </w:r>
      <w:r>
        <w:t>previsibles o no sea posible la licitación, concurso de precios o remate público, o su realizac</w:t>
      </w:r>
      <w:r>
        <w:t xml:space="preserve">ión resienta seriamente el servicio, extremos cuya </w:t>
      </w:r>
      <w:r>
        <w:t>invocación deberá fundamentarse en forma detallada", constituyendo un aspecto sustancial en la motivación del acto que dispone el procedimiento de excepción contar con la previa certificación del Ministeri</w:t>
      </w:r>
      <w:r>
        <w:t xml:space="preserve">o de </w:t>
      </w:r>
      <w:r>
        <w:lastRenderedPageBreak/>
        <w:t>Economía y Finanzas, tanto en lo que refiere a la configuración de los extremos que habilitan la causal, como a los precios y condiciones que corresponden al mercado local o de origen, según el caso.</w:t>
      </w:r>
    </w:p>
    <w:p w14:paraId="0287B0E8" w14:textId="77777777" w:rsidR="00AC0B08" w:rsidRDefault="00966107">
      <w:pPr>
        <w:spacing w:after="191" w:line="259" w:lineRule="auto"/>
        <w:ind w:left="720" w:right="14" w:firstLine="0"/>
      </w:pPr>
      <w:r>
        <w:t>Pues bien.</w:t>
      </w:r>
    </w:p>
    <w:p w14:paraId="2A9A70C0" w14:textId="77777777" w:rsidR="00AC0B08" w:rsidRDefault="00966107">
      <w:pPr>
        <w:ind w:right="14"/>
      </w:pPr>
      <w:r>
        <w:rPr>
          <w:noProof/>
        </w:rPr>
        <w:drawing>
          <wp:inline distT="0" distB="0" distL="0" distR="0" wp14:anchorId="4406FD99" wp14:editId="5B3BB930">
            <wp:extent cx="182880" cy="132588"/>
            <wp:effectExtent l="0" t="0" r="0" b="0"/>
            <wp:docPr id="61977" name="Picture 61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7" name="Picture 619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Conforme la denuncia pública realizada </w:t>
      </w:r>
      <w:r>
        <w:t xml:space="preserve">por el ex </w:t>
      </w:r>
      <w:proofErr w:type="gramStart"/>
      <w:r>
        <w:t>Director</w:t>
      </w:r>
      <w:proofErr w:type="gramEnd"/>
      <w:r>
        <w:t xml:space="preserve"> de Turismo, al parecer, en reiteradas ocasiones, cuando mínimo, no solo se incumplía la certificación por parte del MEF, sino que tampoco, al parecer, se "fundamentaba en forma detallada" razón alguna para recurrir a tal procedimiento de</w:t>
      </w:r>
      <w:r>
        <w:t xml:space="preserve"> excepción.</w:t>
      </w:r>
    </w:p>
    <w:p w14:paraId="01E43FA3" w14:textId="77777777" w:rsidR="00AC0B08" w:rsidRDefault="00966107">
      <w:pPr>
        <w:spacing w:after="198" w:line="259" w:lineRule="auto"/>
        <w:ind w:left="10" w:right="14" w:hanging="10"/>
        <w:jc w:val="right"/>
      </w:pPr>
      <w:r>
        <w:t>Entiéndase bien, entonces: dicho mero accionar resulta</w:t>
      </w:r>
    </w:p>
    <w:p w14:paraId="2C69F814" w14:textId="77777777" w:rsidR="00AC0B08" w:rsidRDefault="00966107">
      <w:pPr>
        <w:spacing w:after="28"/>
        <w:ind w:right="14" w:firstLine="22"/>
      </w:pPr>
      <w:r>
        <w:t>indiscutiblemente arbitrario, y no discrecional, resintiendo gravemente el bien jurídico, administración pública, que el artículo 162 del Código Penal tutela.</w:t>
      </w:r>
    </w:p>
    <w:p w14:paraId="785EE304" w14:textId="77777777" w:rsidR="00AC0B08" w:rsidRDefault="00966107">
      <w:pPr>
        <w:ind w:right="14"/>
      </w:pPr>
      <w:r>
        <w:rPr>
          <w:noProof/>
        </w:rPr>
        <w:drawing>
          <wp:inline distT="0" distB="0" distL="0" distR="0" wp14:anchorId="1D3C41C7" wp14:editId="2BB432E1">
            <wp:extent cx="182880" cy="132588"/>
            <wp:effectExtent l="0" t="0" r="0" b="0"/>
            <wp:docPr id="61980" name="Picture 61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0" name="Picture 619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Lo denunciado anteriormente l</w:t>
      </w:r>
      <w:r>
        <w:t xml:space="preserve">o podemos ver reflejado sin mayor dificultad en varios expedientes, uno de ellos es el identificado con el N </w:t>
      </w:r>
      <w:r>
        <w:rPr>
          <w:vertAlign w:val="superscript"/>
        </w:rPr>
        <w:t xml:space="preserve">O </w:t>
      </w:r>
      <w:r>
        <w:t>2020-9-1-0001937, el cual se agrega y se identifica con la letra A.</w:t>
      </w:r>
    </w:p>
    <w:p w14:paraId="6B3819CB" w14:textId="77777777" w:rsidR="00AC0B08" w:rsidRDefault="00966107">
      <w:pPr>
        <w:spacing w:after="112"/>
        <w:ind w:right="14"/>
      </w:pPr>
      <w:r>
        <w:t>Dicho expediente consistió en la contratación de vía pública a dos empresas de forma directa para la temporada 2020- 2021, y en él podemos apreciar como a folio 52 el Ministerio de Economía informa a los efectos de otorgar la certificación requerida por el</w:t>
      </w:r>
      <w:r>
        <w:t xml:space="preserve"> TOCAF que la misma debió ingresar al menos tres días antes de la contratación y según la información volcada por el Ministerio de Turismo la ejecución ya estaba en proceso desde octubre de 2020, habiendo </w:t>
      </w:r>
      <w:r>
        <w:lastRenderedPageBreak/>
        <w:t>ingresado la solicitud recién en diciembre de dicho</w:t>
      </w:r>
      <w:r>
        <w:t xml:space="preserve"> año. A folio 68 la Contadora Auditora del Tribunal de Cuentas destacada ante el Ministerio de Turismo observa dicho gasto, reiterando pese a ello el Ministerio de Turismo el mismo, lo cual luce a folio 86 del expediente mencionado.</w:t>
      </w:r>
    </w:p>
    <w:p w14:paraId="62427F00" w14:textId="77777777" w:rsidR="00AC0B08" w:rsidRDefault="00966107">
      <w:pPr>
        <w:ind w:right="14"/>
      </w:pPr>
      <w:r>
        <w:t>Esto es: no se trata de</w:t>
      </w:r>
      <w:r>
        <w:t xml:space="preserve"> un mero incumplimiento formal de un intrascendente requisito documental cuasi burocrático. Muy por el contrario, de dicho expediente surge que el denunciado contrató, POR UN MONTO MILLONARIO Y EN FORMA DIRECTA, a dos empresas NADA MENOS QUE</w:t>
      </w:r>
    </w:p>
    <w:p w14:paraId="2C0EFF63" w14:textId="77777777" w:rsidR="00AC0B08" w:rsidRDefault="00966107">
      <w:pPr>
        <w:spacing w:after="0" w:line="372" w:lineRule="auto"/>
        <w:ind w:left="24" w:hanging="10"/>
      </w:pPr>
      <w:r>
        <w:rPr>
          <w:sz w:val="30"/>
        </w:rPr>
        <w:t>PARA TODA LA T</w:t>
      </w:r>
      <w:r>
        <w:rPr>
          <w:sz w:val="30"/>
        </w:rPr>
        <w:t>EMPORADA 2020-2021, EN OCTUBRE DE 2020. Y recién INICIÓ el expediente para validar DICHA CONTRATACIÓN YA EJECUTADA</w:t>
      </w:r>
    </w:p>
    <w:p w14:paraId="56685161" w14:textId="77777777" w:rsidR="00AC0B08" w:rsidRDefault="00966107">
      <w:pPr>
        <w:spacing w:after="3" w:line="259" w:lineRule="auto"/>
        <w:ind w:left="22" w:firstLine="4"/>
      </w:pPr>
      <w:r>
        <w:rPr>
          <w:sz w:val="32"/>
        </w:rPr>
        <w:t>DOS MESES DESPUÉS.</w:t>
      </w:r>
    </w:p>
    <w:p w14:paraId="7B06DCF6" w14:textId="77777777" w:rsidR="00AC0B08" w:rsidRDefault="00966107">
      <w:pPr>
        <w:ind w:right="14"/>
      </w:pPr>
      <w:r>
        <w:t>Esto no es una irregularidad administrativa. Esto es la arbitrariedad llevada a su máxima expresión, donde se contrata, su</w:t>
      </w:r>
      <w:r>
        <w:t>ponemos que VERBALMENTE A DOS EMPRESAS POR MILLONES DE PESOS (ya que no hay constancia documental alguna al respecto) y recién después se piensa, DOS MESES, en dar un barniz de tardía y, cuando mínimo, cuestionable legalidad a dicha contratación YA EJECUTA</w:t>
      </w:r>
      <w:r>
        <w:t>DA.</w:t>
      </w:r>
    </w:p>
    <w:p w14:paraId="5157CAB1" w14:textId="77777777" w:rsidR="00AC0B08" w:rsidRDefault="00966107">
      <w:pPr>
        <w:spacing w:after="212" w:line="259" w:lineRule="auto"/>
        <w:ind w:left="759" w:right="14" w:hanging="3"/>
      </w:pPr>
      <w:r>
        <w:rPr>
          <w:sz w:val="28"/>
        </w:rPr>
        <w:t>Pero hay más.</w:t>
      </w:r>
    </w:p>
    <w:p w14:paraId="3007D5EC" w14:textId="77777777" w:rsidR="00AC0B08" w:rsidRDefault="00966107">
      <w:pPr>
        <w:spacing w:after="147" w:line="259" w:lineRule="auto"/>
        <w:ind w:left="10" w:right="14" w:hanging="10"/>
        <w:jc w:val="right"/>
      </w:pPr>
      <w:r>
        <w:rPr>
          <w:noProof/>
        </w:rPr>
        <w:drawing>
          <wp:inline distT="0" distB="0" distL="0" distR="0" wp14:anchorId="3B10B56F" wp14:editId="0B0D390C">
            <wp:extent cx="178308" cy="132588"/>
            <wp:effectExtent l="0" t="0" r="0" b="0"/>
            <wp:docPr id="61983" name="Picture 61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3" name="Picture 619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 situación relatada anteriormente se da también en el</w:t>
      </w:r>
    </w:p>
    <w:p w14:paraId="37A68E9C" w14:textId="77777777" w:rsidR="00AC0B08" w:rsidRDefault="00966107">
      <w:pPr>
        <w:spacing w:after="3" w:line="378" w:lineRule="auto"/>
        <w:ind w:left="17" w:right="14" w:hanging="3"/>
      </w:pPr>
      <w:r>
        <w:rPr>
          <w:sz w:val="28"/>
        </w:rPr>
        <w:t xml:space="preserve">Expediente que se adjunta con la letra B y se identifica con el N </w:t>
      </w:r>
      <w:r>
        <w:rPr>
          <w:sz w:val="28"/>
          <w:vertAlign w:val="superscript"/>
        </w:rPr>
        <w:t xml:space="preserve">O </w:t>
      </w:r>
      <w:r>
        <w:rPr>
          <w:sz w:val="28"/>
        </w:rPr>
        <w:t xml:space="preserve">2020- 91- 0001987, contratación en forma directa en radios para pauta </w:t>
      </w:r>
      <w:r>
        <w:rPr>
          <w:sz w:val="28"/>
        </w:rPr>
        <w:lastRenderedPageBreak/>
        <w:t xml:space="preserve">publicitaria, allí la Contadora Auditora del Tribunal de Cuentas a folio 115 observó el gasto por incumplir el Ministerio de Turismo con las disposiciones del artículo 211, literal b de </w:t>
      </w:r>
      <w:r>
        <w:rPr>
          <w:sz w:val="28"/>
        </w:rPr>
        <w:t>la Constitución y el artículo 33 del TOCAF, literal D, numeral 10, no contar con la certificación correspondiente del Ministerio de Economía y Finanzas (verificación de que los precios y condiciones se ajuste a los mercados).</w:t>
      </w:r>
    </w:p>
    <w:p w14:paraId="0BB9C247" w14:textId="77777777" w:rsidR="00AC0B08" w:rsidRDefault="00966107">
      <w:pPr>
        <w:ind w:right="14"/>
      </w:pPr>
      <w:r>
        <w:rPr>
          <w:u w:val="single" w:color="000000"/>
        </w:rPr>
        <w:t>10.-</w:t>
      </w:r>
      <w:r>
        <w:t xml:space="preserve"> Otra situación que se pue</w:t>
      </w:r>
      <w:r>
        <w:t xml:space="preserve">de apreciar es la que se encuentra contemplada en el Expediente 2020-9-1-0001946, el cual se agrega con la letra C, aquí mediante el mismo mecanismo, contratación directa, en este caso publicidad a través de canales de televisión, el Ministerio de Turismo </w:t>
      </w:r>
      <w:r>
        <w:t>incurre nuevamente en la irregularidad antes desarrollada.</w:t>
      </w:r>
    </w:p>
    <w:p w14:paraId="705EDBD5" w14:textId="77777777" w:rsidR="00AC0B08" w:rsidRDefault="00966107">
      <w:pPr>
        <w:spacing w:after="16" w:line="349" w:lineRule="auto"/>
        <w:ind w:left="-15" w:right="35" w:firstLine="703"/>
      </w:pPr>
      <w:r>
        <w:t xml:space="preserve">Nuevamente: </w:t>
      </w:r>
      <w:r>
        <w:rPr>
          <w:u w:val="single" w:color="000000"/>
        </w:rPr>
        <w:t>se inicia la ejecución de los contratos respectivos sin contar con la certificación del Ministerio de Economía</w:t>
      </w:r>
      <w:r>
        <w:t>, o sea, la misma es solicitada con posterioridad a la ejecución contractua</w:t>
      </w:r>
      <w:r>
        <w:t>l cuando debió ser</w:t>
      </w:r>
    </w:p>
    <w:p w14:paraId="02246382" w14:textId="77777777" w:rsidR="00AC0B08" w:rsidRDefault="00966107">
      <w:pPr>
        <w:spacing w:after="3" w:line="373" w:lineRule="auto"/>
        <w:ind w:left="17" w:right="14" w:hanging="3"/>
      </w:pPr>
      <w:r>
        <w:rPr>
          <w:sz w:val="28"/>
        </w:rPr>
        <w:t>gestionada al menos tres días hábiles antes de la contratación respectiva, circunstancia que vemos reflejada en el informe del Ministerio de Economía y Finanzas que luce a folio 36.</w:t>
      </w:r>
    </w:p>
    <w:p w14:paraId="490A1FB5" w14:textId="77777777" w:rsidR="00AC0B08" w:rsidRDefault="00966107">
      <w:pPr>
        <w:spacing w:after="26"/>
        <w:ind w:right="14"/>
      </w:pPr>
      <w:r>
        <w:t>No podemos sino destacarlo vehemente nuevamente; de los</w:t>
      </w:r>
      <w:r>
        <w:t xml:space="preserve"> expedientes reseñados surge un modus operandi constante y contumaz: realizar una contratación MILLONARIA primero, sin expediente alguno, ni mucho menos la "fundamentación detallada" que EXIGE el </w:t>
      </w:r>
      <w:r>
        <w:lastRenderedPageBreak/>
        <w:t>TOCAF, y recién luego de un par de meses, pretender barnizar</w:t>
      </w:r>
      <w:r>
        <w:t xml:space="preserve"> tal ejecución contractual YA OPERADA de un manto de aparente irregularidad administrativa.</w:t>
      </w:r>
    </w:p>
    <w:p w14:paraId="246F466A" w14:textId="77777777" w:rsidR="00AC0B08" w:rsidRDefault="00966107">
      <w:pPr>
        <w:ind w:right="14"/>
      </w:pPr>
      <w:r>
        <w:rPr>
          <w:u w:val="single" w:color="000000"/>
        </w:rPr>
        <w:t>11.-</w:t>
      </w:r>
      <w:r>
        <w:t xml:space="preserve"> De manera que podemos concluir que las irregularidades mencionadas fueron un modo de operar reiterado y continuo de la Administración de Turismo, llevada adelante por el denunciado, el accionar fue repetitivo, </w:t>
      </w:r>
      <w:r>
        <w:rPr>
          <w:u w:val="single" w:color="000000"/>
        </w:rPr>
        <w:t>se incurrió permanentemente en la violación d</w:t>
      </w:r>
      <w:r>
        <w:rPr>
          <w:u w:val="single" w:color="000000"/>
        </w:rPr>
        <w:t>el TOCAF y la Constitución de la República</w:t>
      </w:r>
      <w:r>
        <w:t>, circunstancia que pese a la reiteración del gasto debe ser estudiada adecuadamente pues entendemos se hizo un uso abusivo y excesivo del mecanismo de contratación mencionado, ingresando en la lisa y llana arbitra</w:t>
      </w:r>
      <w:r>
        <w:t>riedad exigida por el artículo 162 del Código Penal.</w:t>
      </w:r>
    </w:p>
    <w:p w14:paraId="5BED0AF3" w14:textId="77777777" w:rsidR="00AC0B08" w:rsidRDefault="00966107">
      <w:pPr>
        <w:ind w:right="14"/>
      </w:pPr>
      <w:r>
        <w:rPr>
          <w:sz w:val="28"/>
          <w:u w:val="single" w:color="000000"/>
        </w:rPr>
        <w:t>12.-</w:t>
      </w:r>
      <w:r>
        <w:rPr>
          <w:sz w:val="28"/>
        </w:rPr>
        <w:t xml:space="preserve"> Asimismo, no puede dejar de resultar por demás ilustrativo que el Ex </w:t>
      </w:r>
      <w:proofErr w:type="gramStart"/>
      <w:r>
        <w:rPr>
          <w:sz w:val="28"/>
        </w:rPr>
        <w:t>Director</w:t>
      </w:r>
      <w:proofErr w:type="gramEnd"/>
      <w:r>
        <w:rPr>
          <w:sz w:val="28"/>
        </w:rPr>
        <w:t xml:space="preserve"> de Turism0</w:t>
      </w:r>
      <w:r>
        <w:rPr>
          <w:sz w:val="28"/>
          <w:vertAlign w:val="superscript"/>
        </w:rPr>
        <w:t xml:space="preserve">3 </w:t>
      </w:r>
      <w:r>
        <w:rPr>
          <w:sz w:val="28"/>
        </w:rPr>
        <w:t xml:space="preserve">también denunció que "si se toma como referencia </w:t>
      </w:r>
      <w:r>
        <w:rPr>
          <w:sz w:val="28"/>
        </w:rPr>
        <w:t xml:space="preserve">el período 2015-2019, los montos invertidos en compras por </w:t>
      </w:r>
      <w:r>
        <w:rPr>
          <w:sz w:val="28"/>
        </w:rPr>
        <w:t>publicidad en la vía pública de esos cinco años fueron de 210.000 dólares anuales,</w:t>
      </w:r>
    </w:p>
    <w:p w14:paraId="2FCA0031" w14:textId="77777777" w:rsidR="00AC0B08" w:rsidRDefault="00966107">
      <w:pPr>
        <w:spacing w:after="256" w:line="402" w:lineRule="auto"/>
        <w:ind w:left="0" w:firstLine="0"/>
        <w:jc w:val="center"/>
      </w:pPr>
      <w:r>
        <w:rPr>
          <w:sz w:val="30"/>
        </w:rPr>
        <w:t>y a seis empresas en promedio. "Cuando en octubre se me presenta el expediente para la compra de vía pública sin informe de la agencia, por</w:t>
      </w:r>
    </w:p>
    <w:p w14:paraId="73763190" w14:textId="77777777" w:rsidR="00AC0B08" w:rsidRDefault="00966107">
      <w:pPr>
        <w:spacing w:before="14" w:after="42" w:line="216" w:lineRule="auto"/>
        <w:ind w:left="280" w:firstLine="115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522D0C" wp14:editId="0C96D4DE">
                <wp:simplePos x="0" y="0"/>
                <wp:positionH relativeFrom="column">
                  <wp:posOffset>-9143</wp:posOffset>
                </wp:positionH>
                <wp:positionV relativeFrom="paragraph">
                  <wp:posOffset>-73151</wp:posOffset>
                </wp:positionV>
                <wp:extent cx="1312164" cy="9144"/>
                <wp:effectExtent l="0" t="0" r="0" b="0"/>
                <wp:wrapNone/>
                <wp:docPr id="61986" name="Group 61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164" cy="9144"/>
                          <a:chOff x="0" y="0"/>
                          <a:chExt cx="1312164" cy="9144"/>
                        </a:xfrm>
                      </wpg:grpSpPr>
                      <wps:wsp>
                        <wps:cNvPr id="61985" name="Shape 61985"/>
                        <wps:cNvSpPr/>
                        <wps:spPr>
                          <a:xfrm>
                            <a:off x="0" y="0"/>
                            <a:ext cx="1312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4" h="9144">
                                <a:moveTo>
                                  <a:pt x="0" y="4572"/>
                                </a:moveTo>
                                <a:lnTo>
                                  <a:pt x="13121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986" style="width:103.32pt;height:0.719971pt;position:absolute;z-index:-2147483648;mso-position-horizontal-relative:text;mso-position-horizontal:absolute;margin-left:-0.720001pt;mso-position-vertical-relative:text;margin-top:-5.76001pt;" coordsize="13121,91">
                <v:shape id="Shape 61985" style="position:absolute;width:13121;height:91;left:0;top:0;" coordsize="1312164,9144" path="m0,4572l1312164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2"/>
        </w:rPr>
        <w:t>https://ladiaria.com.uy/politica</w:t>
      </w:r>
      <w:r>
        <w:rPr>
          <w:sz w:val="22"/>
        </w:rPr>
        <w:t>/articulo/2021/8/exdirector-de-turismo-cuestiono-comprasdel-ministerio-a-menos-empresas-y-montos-mayores-a-anos-anteriores/</w:t>
      </w:r>
    </w:p>
    <w:p w14:paraId="18585262" w14:textId="77777777" w:rsidR="00AC0B08" w:rsidRDefault="00966107">
      <w:pPr>
        <w:spacing w:after="58" w:line="360" w:lineRule="auto"/>
        <w:ind w:left="-5" w:right="-11" w:hanging="10"/>
      </w:pPr>
      <w:r>
        <w:rPr>
          <w:rFonts w:ascii="Times New Roman" w:eastAsia="Times New Roman" w:hAnsi="Times New Roman" w:cs="Times New Roman"/>
          <w:sz w:val="30"/>
        </w:rPr>
        <w:t xml:space="preserve">800.000 dólares, no lo ingreso; dijimos que sin informe de la agencia y justificación no lo podíamos firmar. Desde ese momento hubo </w:t>
      </w:r>
      <w:r>
        <w:rPr>
          <w:rFonts w:ascii="Times New Roman" w:eastAsia="Times New Roman" w:hAnsi="Times New Roman" w:cs="Times New Roman"/>
          <w:sz w:val="30"/>
        </w:rPr>
        <w:t xml:space="preserve">un </w:t>
      </w:r>
      <w:r>
        <w:rPr>
          <w:rFonts w:ascii="Times New Roman" w:eastAsia="Times New Roman" w:hAnsi="Times New Roman" w:cs="Times New Roman"/>
          <w:sz w:val="30"/>
        </w:rPr>
        <w:lastRenderedPageBreak/>
        <w:t xml:space="preserve">quiebre en el relacionamiento", contó el exdirector, que recordó que esa propuesta a una sola empresa, </w:t>
      </w:r>
      <w:proofErr w:type="spellStart"/>
      <w:r>
        <w:rPr>
          <w:rFonts w:ascii="Times New Roman" w:eastAsia="Times New Roman" w:hAnsi="Times New Roman" w:cs="Times New Roman"/>
          <w:sz w:val="30"/>
        </w:rPr>
        <w:t>Netcom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de octubre, no prosperó. Pero luego, en diciembre, sí prosperó una compra a empresas de vía pública, entre ellas </w:t>
      </w:r>
      <w:proofErr w:type="spellStart"/>
      <w:r>
        <w:rPr>
          <w:rFonts w:ascii="Times New Roman" w:eastAsia="Times New Roman" w:hAnsi="Times New Roman" w:cs="Times New Roman"/>
          <w:sz w:val="30"/>
        </w:rPr>
        <w:t>Netcom</w:t>
      </w:r>
      <w:proofErr w:type="spellEnd"/>
      <w:r>
        <w:rPr>
          <w:rFonts w:ascii="Times New Roman" w:eastAsia="Times New Roman" w:hAnsi="Times New Roman" w:cs="Times New Roman"/>
          <w:sz w:val="30"/>
        </w:rPr>
        <w:t>, "por 11 millones de p</w:t>
      </w:r>
      <w:r>
        <w:rPr>
          <w:rFonts w:ascii="Times New Roman" w:eastAsia="Times New Roman" w:hAnsi="Times New Roman" w:cs="Times New Roman"/>
          <w:sz w:val="30"/>
        </w:rPr>
        <w:t>esos; ya era bastante más de lo que se gastaba en 2020, montos mayores a lo que se gastaba en los años anteriores, y en un año en pandemia".</w:t>
      </w:r>
    </w:p>
    <w:p w14:paraId="0F5D30D4" w14:textId="77777777" w:rsidR="00AC0B08" w:rsidRDefault="00966107">
      <w:pPr>
        <w:ind w:right="14"/>
      </w:pPr>
      <w:r>
        <w:t>No existe causa medianamente razonable que pueda justificar el exponencial aumento del gasto en publicidad que ejec</w:t>
      </w:r>
      <w:r>
        <w:t xml:space="preserve">utó el denunciado, y resultad de una gravedad inusitada, que el denunciado haya pretendido ejecutar un </w:t>
      </w:r>
      <w:r>
        <w:rPr>
          <w:u w:val="single" w:color="000000"/>
        </w:rPr>
        <w:t xml:space="preserve">gasto por la millonaria suma de 800.000 DÓLARES, sin informe alguno </w:t>
      </w:r>
      <w:proofErr w:type="spellStart"/>
      <w:r>
        <w:rPr>
          <w:u w:val="single" w:color="000000"/>
        </w:rPr>
        <w:t>gue</w:t>
      </w:r>
      <w:proofErr w:type="spellEnd"/>
      <w:r>
        <w:rPr>
          <w:u w:val="single" w:color="000000"/>
        </w:rPr>
        <w:t xml:space="preserve"> lo justificara, como si se tratase de un mero gasto de gestión administrativa dia</w:t>
      </w:r>
      <w:r>
        <w:rPr>
          <w:u w:val="single" w:color="000000"/>
        </w:rPr>
        <w:t>ria del Ministerio</w:t>
      </w:r>
      <w:r>
        <w:t>.</w:t>
      </w:r>
    </w:p>
    <w:p w14:paraId="0526E37A" w14:textId="77777777" w:rsidR="00AC0B08" w:rsidRDefault="00966107">
      <w:pPr>
        <w:spacing w:after="58" w:line="325" w:lineRule="auto"/>
        <w:ind w:left="-8" w:right="21" w:firstLine="703"/>
      </w:pPr>
      <w:r>
        <w:rPr>
          <w:sz w:val="28"/>
        </w:rPr>
        <w:t xml:space="preserve">No deja de resultar, además curioso que, luego de ello, y tan solo dos meses después, el </w:t>
      </w:r>
      <w:r>
        <w:rPr>
          <w:sz w:val="28"/>
          <w:u w:val="single" w:color="000000"/>
        </w:rPr>
        <w:t>denunciado haya insistido con asignar, POR CONTRATACIÓN DIRECTA, otro gasto millonario, de 11 millones de pesos,</w:t>
      </w:r>
    </w:p>
    <w:p w14:paraId="3FF1641C" w14:textId="77777777" w:rsidR="00AC0B08" w:rsidRDefault="00966107">
      <w:pPr>
        <w:spacing w:after="211" w:line="259" w:lineRule="auto"/>
        <w:ind w:left="-5" w:hanging="10"/>
      </w:pPr>
      <w:r>
        <w:rPr>
          <w:rFonts w:ascii="Times New Roman" w:eastAsia="Times New Roman" w:hAnsi="Times New Roman" w:cs="Times New Roman"/>
          <w:u w:val="single" w:color="000000"/>
        </w:rPr>
        <w:t>a la misma empresa beneficiaria</w:t>
      </w:r>
      <w:r>
        <w:rPr>
          <w:rFonts w:ascii="Times New Roman" w:eastAsia="Times New Roman" w:hAnsi="Times New Roman" w:cs="Times New Roman"/>
        </w:rPr>
        <w:t>.</w:t>
      </w:r>
    </w:p>
    <w:p w14:paraId="2A9A6721" w14:textId="77777777" w:rsidR="00AC0B08" w:rsidRDefault="00966107">
      <w:pPr>
        <w:spacing w:after="585"/>
        <w:ind w:right="14"/>
      </w:pPr>
      <w:r>
        <w:t>C</w:t>
      </w:r>
      <w:r>
        <w:t>iertamente, la indagación penal podrá echar luz sobre el porqué de la insistencia en gastos millonarios, SIN CAUSA JUSTIFICANTE QUE MOTIVE SU CONTRATACIÓN DIRECTA, a la misma empresa, en reiteradas oportunidades, por el denunciado.</w:t>
      </w:r>
    </w:p>
    <w:p w14:paraId="0073387B" w14:textId="77777777" w:rsidR="00AC0B08" w:rsidRDefault="00966107">
      <w:pPr>
        <w:spacing w:after="137" w:line="259" w:lineRule="auto"/>
        <w:ind w:left="10" w:right="-1" w:hanging="10"/>
        <w:jc w:val="right"/>
      </w:pPr>
      <w:r>
        <w:rPr>
          <w:sz w:val="30"/>
        </w:rPr>
        <w:t xml:space="preserve">3. DEBERÁ INDAGARSE QUE </w:t>
      </w:r>
      <w:r>
        <w:rPr>
          <w:sz w:val="30"/>
        </w:rPr>
        <w:t>"</w:t>
      </w:r>
      <w:r>
        <w:rPr>
          <w:sz w:val="30"/>
          <w:u w:val="single" w:color="000000"/>
        </w:rPr>
        <w:t>PUEDA HABER OTRAS COSAS"</w:t>
      </w:r>
    </w:p>
    <w:p w14:paraId="5F4A71D7" w14:textId="77777777" w:rsidR="00AC0B08" w:rsidRDefault="00966107">
      <w:pPr>
        <w:spacing w:after="3" w:line="347" w:lineRule="auto"/>
        <w:ind w:left="1058" w:firstLine="4"/>
      </w:pPr>
      <w:r>
        <w:rPr>
          <w:sz w:val="32"/>
        </w:rPr>
        <w:t xml:space="preserve">(SIC., DR. PÉREZ BANCHERO) EN TODAS ESTAS ARBITRARIAS CONTRATACIONES </w:t>
      </w:r>
      <w:r>
        <w:rPr>
          <w:sz w:val="32"/>
        </w:rPr>
        <w:lastRenderedPageBreak/>
        <w:t>EJECUTADAS, EN ABIERTO INCUMPLIMIENTO DEL TOCAF Y CON ABUSO DEL</w:t>
      </w:r>
    </w:p>
    <w:p w14:paraId="45FE36EC" w14:textId="77777777" w:rsidR="00AC0B08" w:rsidRDefault="00966107">
      <w:pPr>
        <w:spacing w:after="186" w:line="259" w:lineRule="auto"/>
        <w:ind w:left="1058" w:firstLine="4"/>
      </w:pPr>
      <w:r>
        <w:rPr>
          <w:sz w:val="32"/>
        </w:rPr>
        <w:t>CARGO DE PARTE DEL DENUNCIADO</w:t>
      </w:r>
    </w:p>
    <w:p w14:paraId="448DDDAA" w14:textId="77777777" w:rsidR="00AC0B08" w:rsidRDefault="00966107">
      <w:pPr>
        <w:spacing w:after="112"/>
        <w:ind w:right="14"/>
      </w:pPr>
      <w:r>
        <w:t>14.- El panorama de grave arbitrariedad y abuso del cargo solo empeora.</w:t>
      </w:r>
    </w:p>
    <w:p w14:paraId="117DAC1C" w14:textId="77777777" w:rsidR="00AC0B08" w:rsidRDefault="00966107">
      <w:pPr>
        <w:ind w:right="14"/>
      </w:pPr>
      <w:r>
        <w:rPr>
          <w:noProof/>
        </w:rPr>
        <w:drawing>
          <wp:inline distT="0" distB="0" distL="0" distR="0" wp14:anchorId="11710245" wp14:editId="3770DEB1">
            <wp:extent cx="4572" cy="4572"/>
            <wp:effectExtent l="0" t="0" r="0" b="0"/>
            <wp:docPr id="15005" name="Picture 15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5" name="Picture 150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15.- El ex </w:t>
      </w:r>
      <w:proofErr w:type="gramStart"/>
      <w:r>
        <w:t>Director</w:t>
      </w:r>
      <w:proofErr w:type="gramEnd"/>
      <w:r>
        <w:t xml:space="preserve"> de Turismo denunció que muchas contrataciones fueron realizadas sin informe previo de la agencia de medios que trabajaba para el Ministerio, asesorando sobre contr</w:t>
      </w:r>
      <w:r>
        <w:t>ataciones, circunstancia que podemos confirmarla de acuerdo las referencias siguientes.</w:t>
      </w:r>
    </w:p>
    <w:p w14:paraId="1D40707C" w14:textId="77777777" w:rsidR="00AC0B08" w:rsidRDefault="00966107">
      <w:pPr>
        <w:spacing w:after="56"/>
        <w:ind w:right="14" w:firstLine="958"/>
      </w:pPr>
      <w:r>
        <w:t xml:space="preserve">De los expedientes que agregamos vemos como algunas contrataciones cuentan con informe previo de la Agencia de Medios, que asesora al </w:t>
      </w:r>
      <w:proofErr w:type="spellStart"/>
      <w:r>
        <w:t>Miniterio</w:t>
      </w:r>
      <w:proofErr w:type="spellEnd"/>
      <w:r>
        <w:t xml:space="preserve"> de Turismo en lo que res</w:t>
      </w:r>
      <w:r>
        <w:t>pecta a las propuestas presentadas y en otros casos no.</w:t>
      </w:r>
    </w:p>
    <w:p w14:paraId="4C28155F" w14:textId="77777777" w:rsidR="00AC0B08" w:rsidRDefault="00966107">
      <w:pPr>
        <w:ind w:right="14" w:firstLine="842"/>
      </w:pPr>
      <w:r>
        <w:t xml:space="preserve">Por ejemplo, cuando se contrata directamente a tres empresas por un monto de U$S 700.000, situación que se puede corroborar en el expediente identificado con la letra D, N </w:t>
      </w:r>
      <w:r>
        <w:rPr>
          <w:vertAlign w:val="superscript"/>
        </w:rPr>
        <w:t xml:space="preserve">O </w:t>
      </w:r>
      <w:r>
        <w:t xml:space="preserve">2020-9-1-0002067, </w:t>
      </w:r>
      <w:r>
        <w:rPr>
          <w:u w:val="single" w:color="000000"/>
        </w:rPr>
        <w:t>no hay n</w:t>
      </w:r>
      <w:r>
        <w:rPr>
          <w:u w:val="single" w:color="000000"/>
        </w:rPr>
        <w:t>ingún tipo de informe que avale o asesore sobre tal contratación</w:t>
      </w:r>
      <w:r>
        <w:t xml:space="preserve">. Esto es: se trata de, otra vez más, una contratación directa, </w:t>
      </w:r>
      <w:r>
        <w:rPr>
          <w:u w:val="single" w:color="000000"/>
        </w:rPr>
        <w:t>no ya sin "fundamento detallado" sino SIN FUNDAMENTO ALGUNO</w:t>
      </w:r>
      <w:r>
        <w:t>.</w:t>
      </w:r>
    </w:p>
    <w:p w14:paraId="38C8AC90" w14:textId="77777777" w:rsidR="00AC0B08" w:rsidRDefault="00966107">
      <w:pPr>
        <w:ind w:right="14"/>
      </w:pPr>
      <w:r>
        <w:t>En este caso particular se puede apreciar que la contratación se hi</w:t>
      </w:r>
      <w:r>
        <w:t xml:space="preserve">zo por propio impulso e iniciativa del Ministerio de Turismo, no existió recomendación o informe de la Agencia de Medios (Young y </w:t>
      </w:r>
      <w:proofErr w:type="spellStart"/>
      <w:r>
        <w:t>Rubicam</w:t>
      </w:r>
      <w:proofErr w:type="spellEnd"/>
      <w:r>
        <w:t xml:space="preserve">) que determinara la contratación por alguna de las empresas seleccionadas. El denunciado afirmó recientemente en </w:t>
      </w:r>
      <w:r>
        <w:lastRenderedPageBreak/>
        <w:t>el Pa</w:t>
      </w:r>
      <w:r>
        <w:t xml:space="preserve">rlamento Nacional que "todas las </w:t>
      </w:r>
      <w:r>
        <w:t>compras que hizo este ministerio fueron presentada por la agencia de publicidad que venía trabajando con el ministerio desde hace 15 años".</w:t>
      </w:r>
    </w:p>
    <w:p w14:paraId="0590DBFE" w14:textId="77777777" w:rsidR="00AC0B08" w:rsidRDefault="00966107">
      <w:pPr>
        <w:spacing w:after="70"/>
        <w:ind w:right="14"/>
      </w:pPr>
      <w:r>
        <w:t>La afirmación antes mencionada refleja que el denunciado faltó a la verdad pues cla</w:t>
      </w:r>
      <w:r>
        <w:t>ramente del expediente invocado podemos concluir que no existió ni siquiera un informe de la agencia mencionada, por lo que sin mayor exigencia de análisis arribamos a determinar que las empresas seleccionadas o al menos algunas de ellas surgieron a inicia</w:t>
      </w:r>
      <w:r>
        <w:t>tiva del propio entorno del denunciado.</w:t>
      </w:r>
    </w:p>
    <w:p w14:paraId="21546449" w14:textId="77777777" w:rsidR="00AC0B08" w:rsidRDefault="00966107">
      <w:pPr>
        <w:ind w:right="14"/>
      </w:pPr>
      <w:r>
        <w:t>Lo afirmado anteriormente se encuentra reflejado en la nota reciente del Semanario Busqueda</w:t>
      </w:r>
      <w:r>
        <w:rPr>
          <w:vertAlign w:val="superscript"/>
        </w:rPr>
        <w:t xml:space="preserve">4 </w:t>
      </w:r>
      <w:r>
        <w:t>la cual titula que "Dos asesores de Germán</w:t>
      </w:r>
    </w:p>
    <w:p w14:paraId="3D980329" w14:textId="77777777" w:rsidR="00AC0B08" w:rsidRDefault="00966107">
      <w:pPr>
        <w:spacing w:after="507" w:line="410" w:lineRule="auto"/>
        <w:ind w:right="29" w:firstLine="36"/>
      </w:pPr>
      <w:r>
        <w:rPr>
          <w:sz w:val="28"/>
        </w:rPr>
        <w:t xml:space="preserve">Cardoso acercaron la oferta de publicidad digital de </w:t>
      </w:r>
      <w:proofErr w:type="spellStart"/>
      <w:r>
        <w:rPr>
          <w:sz w:val="28"/>
        </w:rPr>
        <w:t>Kirma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Services</w:t>
      </w:r>
      <w:proofErr w:type="spellEnd"/>
      <w:r>
        <w:rPr>
          <w:sz w:val="28"/>
        </w:rPr>
        <w:t xml:space="preserve"> al </w:t>
      </w:r>
      <w:r>
        <w:rPr>
          <w:sz w:val="28"/>
        </w:rPr>
        <w:t>Ministeri</w:t>
      </w:r>
      <w:r>
        <w:rPr>
          <w:sz w:val="28"/>
        </w:rPr>
        <w:t xml:space="preserve">o de Turismo". En la nota periodística se describe que "Las dos </w:t>
      </w:r>
      <w:r>
        <w:rPr>
          <w:sz w:val="28"/>
        </w:rPr>
        <w:t xml:space="preserve">personas que acercaron la propuesta de </w:t>
      </w:r>
      <w:proofErr w:type="spellStart"/>
      <w:r>
        <w:rPr>
          <w:sz w:val="28"/>
        </w:rPr>
        <w:t>Kirma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Services</w:t>
      </w:r>
      <w:proofErr w:type="spellEnd"/>
      <w:r>
        <w:rPr>
          <w:sz w:val="28"/>
        </w:rPr>
        <w:t xml:space="preserve"> durante el proceso de contratación fueron Elbio Rodríguez, un empresario amigo de Cardoso que participaba en reuniones del directorio, y D</w:t>
      </w:r>
      <w:r>
        <w:rPr>
          <w:sz w:val="28"/>
        </w:rPr>
        <w:t>aniel Reta, quien sí tuvo un cargo de asesoría en el ministerio hasta su renuncia forzada, confirmaron a Búsqueda fuentes políticas y vinculadas a la secretaría de Estado. '</w:t>
      </w:r>
      <w:r>
        <w:rPr>
          <w:noProof/>
        </w:rPr>
        <w:drawing>
          <wp:inline distT="0" distB="0" distL="0" distR="0" wp14:anchorId="001C0D0A" wp14:editId="4F2CD8DA">
            <wp:extent cx="18288" cy="41149"/>
            <wp:effectExtent l="0" t="0" r="0" b="0"/>
            <wp:docPr id="16575" name="Picture 16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" name="Picture 165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E100B" w14:textId="77777777" w:rsidR="00AC0B08" w:rsidRDefault="00966107">
      <w:pPr>
        <w:spacing w:after="799"/>
        <w:ind w:right="14"/>
      </w:pPr>
      <w:r>
        <w:t>Otra situación idéntica en cuanto a su indudable relevancia penal es la contratac</w:t>
      </w:r>
      <w:r>
        <w:t xml:space="preserve">ión a tres empresas </w:t>
      </w:r>
      <w:r>
        <w:lastRenderedPageBreak/>
        <w:t xml:space="preserve">por parte del Ministerio de Turismo, por un total de </w:t>
      </w:r>
      <w:r>
        <w:rPr>
          <w:u w:val="single" w:color="000000"/>
        </w:rPr>
        <w:t>$ 17.613.075</w:t>
      </w:r>
      <w:r>
        <w:t xml:space="preserve">, contratación </w:t>
      </w:r>
      <w:r>
        <w:rPr>
          <w:u w:val="single" w:color="000000"/>
        </w:rPr>
        <w:t>que no contó con el asesoramiento de</w:t>
      </w:r>
    </w:p>
    <w:p w14:paraId="157A28CD" w14:textId="77777777" w:rsidR="00AC0B08" w:rsidRDefault="00966107">
      <w:pPr>
        <w:spacing w:before="22" w:after="0" w:line="231" w:lineRule="auto"/>
        <w:ind w:left="281" w:hanging="7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6880116" wp14:editId="2A9E5B58">
                <wp:simplePos x="0" y="0"/>
                <wp:positionH relativeFrom="column">
                  <wp:posOffset>-9143</wp:posOffset>
                </wp:positionH>
                <wp:positionV relativeFrom="paragraph">
                  <wp:posOffset>-77724</wp:posOffset>
                </wp:positionV>
                <wp:extent cx="1307592" cy="9144"/>
                <wp:effectExtent l="0" t="0" r="0" b="0"/>
                <wp:wrapNone/>
                <wp:docPr id="61988" name="Group 61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592" cy="9144"/>
                          <a:chOff x="0" y="0"/>
                          <a:chExt cx="1307592" cy="9144"/>
                        </a:xfrm>
                      </wpg:grpSpPr>
                      <wps:wsp>
                        <wps:cNvPr id="61987" name="Shape 61987"/>
                        <wps:cNvSpPr/>
                        <wps:spPr>
                          <a:xfrm>
                            <a:off x="0" y="0"/>
                            <a:ext cx="1307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2" h="9144">
                                <a:moveTo>
                                  <a:pt x="0" y="4572"/>
                                </a:moveTo>
                                <a:lnTo>
                                  <a:pt x="130759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988" style="width:102.96pt;height:0.719971pt;position:absolute;z-index:-2147483648;mso-position-horizontal-relative:text;mso-position-horizontal:absolute;margin-left:-0.720001pt;mso-position-vertical-relative:text;margin-top:-6.12006pt;" coordsize="13075,91">
                <v:shape id="Shape 61987" style="position:absolute;width:13075;height:91;left:0;top:0;" coordsize="1307592,9144" path="m0,4572l1307592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0"/>
        </w:rPr>
        <w:t>https://www.busqueda.com.uy/Secciones/Dos-asesores-de-German-Cardoso-acercaron-la-ofertade-publicidad-digital-de-Kirma</w:t>
      </w:r>
      <w:r>
        <w:rPr>
          <w:sz w:val="20"/>
        </w:rPr>
        <w:t>-Services-al-Ministerio-de-Turismo-uc49399</w:t>
      </w:r>
    </w:p>
    <w:p w14:paraId="0A7BF9CC" w14:textId="77777777" w:rsidR="00AC0B08" w:rsidRDefault="00966107">
      <w:pPr>
        <w:spacing w:after="34" w:line="439" w:lineRule="auto"/>
        <w:ind w:right="14" w:firstLine="7"/>
      </w:pPr>
      <w:r>
        <w:rPr>
          <w:u w:val="single" w:color="000000"/>
        </w:rPr>
        <w:t>la referida agencia</w:t>
      </w:r>
      <w:r>
        <w:t>, todo lo cual se encuentra en el Expediente 2020-9-1</w:t>
      </w:r>
      <w:r>
        <w:t>0001937.</w:t>
      </w:r>
    </w:p>
    <w:p w14:paraId="512AB8DC" w14:textId="77777777" w:rsidR="00AC0B08" w:rsidRDefault="00966107">
      <w:pPr>
        <w:ind w:right="14" w:firstLine="835"/>
      </w:pPr>
      <w:r>
        <w:t>Claramente el Ministerio no aplicó criterio de buena administración alguna respecto a la fundamentación de estos millonarios gastos,</w:t>
      </w:r>
      <w:r>
        <w:t xml:space="preserve"> con una discrecionalidad abusiva, recurrió en algunos casos y en otros o no a la agencia que ESPECÍFICAMENTE </w:t>
      </w:r>
      <w:proofErr w:type="spellStart"/>
      <w:r>
        <w:t>TENíA</w:t>
      </w:r>
      <w:proofErr w:type="spellEnd"/>
      <w:r>
        <w:t xml:space="preserve"> COMO COMETIDO ASESORAR AL MINISTERIO EN EL PUNTO, de hecho y como mencionamos en contrataciones por montos muy importantes accedió a la mism</w:t>
      </w:r>
      <w:r>
        <w:t>a sin la participación y opinión de la agencia, lo que refleja a las claras la pretensión de irradiar a la misma de dichos procesos de contratación, confrontando con ello el principio de transparencia que debe primar en la gestión pública. 16,- Queremos ha</w:t>
      </w:r>
      <w:r>
        <w:t xml:space="preserve">cer especial énfasis en que un aspecto que merece ser estudiado por la Fiscalía es el relacionado a </w:t>
      </w:r>
      <w:r>
        <w:rPr>
          <w:u w:val="single" w:color="000000"/>
        </w:rPr>
        <w:t>la empresa NETCOM (</w:t>
      </w:r>
      <w:proofErr w:type="spellStart"/>
      <w:r>
        <w:rPr>
          <w:u w:val="single" w:color="000000"/>
        </w:rPr>
        <w:t>Satenil</w:t>
      </w:r>
      <w:proofErr w:type="spellEnd"/>
      <w:r>
        <w:rPr>
          <w:u w:val="single" w:color="000000"/>
        </w:rPr>
        <w:t xml:space="preserve"> S.A) y_ su vínculo con el Ministerio de Turismo</w:t>
      </w:r>
      <w:r>
        <w:t xml:space="preserve">, tal como el propio título de este capítulo adelantaba (recogiendo declaraciones </w:t>
      </w:r>
      <w:r>
        <w:t>expresas del ex</w:t>
      </w:r>
    </w:p>
    <w:p w14:paraId="6F02C123" w14:textId="77777777" w:rsidR="00AC0B08" w:rsidRDefault="00966107">
      <w:pPr>
        <w:spacing w:after="206" w:line="259" w:lineRule="auto"/>
        <w:ind w:right="14" w:firstLine="0"/>
      </w:pPr>
      <w:r>
        <w:t>Director de Turismo, por supuesto).</w:t>
      </w:r>
    </w:p>
    <w:p w14:paraId="57B84729" w14:textId="77777777" w:rsidR="00AC0B08" w:rsidRDefault="00966107">
      <w:pPr>
        <w:spacing w:after="109" w:line="259" w:lineRule="auto"/>
        <w:ind w:left="716" w:right="14" w:hanging="3"/>
      </w:pPr>
      <w:r>
        <w:rPr>
          <w:sz w:val="28"/>
        </w:rPr>
        <w:t>Vayamos a los hechos al respecto.</w:t>
      </w:r>
    </w:p>
    <w:p w14:paraId="538EDC04" w14:textId="77777777" w:rsidR="00AC0B08" w:rsidRDefault="00966107">
      <w:pPr>
        <w:ind w:right="14" w:firstLine="799"/>
      </w:pPr>
      <w:r>
        <w:t xml:space="preserve">El 14 de abril de 2020 la empresa referida presenta una propuesta de publicidad al Ente estatal, </w:t>
      </w:r>
      <w:r>
        <w:lastRenderedPageBreak/>
        <w:t>que se archiva luego de que la Dirección de Turismo informara que no contenía una propuesta concreta con detalles de precios, Expediente N</w:t>
      </w:r>
      <w:r>
        <w:rPr>
          <w:vertAlign w:val="superscript"/>
        </w:rPr>
        <w:t xml:space="preserve">O </w:t>
      </w:r>
      <w:r>
        <w:t>2020 — 9-1-000481 e</w:t>
      </w:r>
      <w:r>
        <w:t xml:space="preserve"> identificado con la letra E.</w:t>
      </w:r>
    </w:p>
    <w:p w14:paraId="2A9B636A" w14:textId="77777777" w:rsidR="00AC0B08" w:rsidRDefault="00966107">
      <w:pPr>
        <w:ind w:right="14"/>
      </w:pPr>
      <w:r>
        <w:t xml:space="preserve">Posteriormente a dicha iniciativa, la referida empresa </w:t>
      </w:r>
      <w:proofErr w:type="gramStart"/>
      <w:r>
        <w:rPr>
          <w:u w:val="single" w:color="000000"/>
        </w:rPr>
        <w:t>vuelve a insistir</w:t>
      </w:r>
      <w:proofErr w:type="gramEnd"/>
      <w:r>
        <w:rPr>
          <w:u w:val="single" w:color="000000"/>
        </w:rPr>
        <w:t xml:space="preserve"> con su propuesta, en octubre del mismo año. por un monto cercano a los $ 40.000.000, la cual vuelve a ser archivada,</w:t>
      </w:r>
      <w:r>
        <w:t xml:space="preserve"> en este caso porque se proponía de p</w:t>
      </w:r>
      <w:r>
        <w:t xml:space="preserve">arte de la empresa una pauta publicitaria anual, motivo que desde la Dirección de Turismo no era conveniente, hechos que los podemos encontrar en el Expediente N </w:t>
      </w:r>
      <w:r>
        <w:rPr>
          <w:vertAlign w:val="superscript"/>
        </w:rPr>
        <w:t xml:space="preserve">O </w:t>
      </w:r>
      <w:r>
        <w:t>2020-9-1-000739, letra F.</w:t>
      </w:r>
    </w:p>
    <w:p w14:paraId="2641AACF" w14:textId="77777777" w:rsidR="00AC0B08" w:rsidRDefault="00966107">
      <w:pPr>
        <w:spacing w:after="189" w:line="259" w:lineRule="auto"/>
        <w:ind w:left="723" w:right="14" w:hanging="3"/>
      </w:pPr>
      <w:r>
        <w:rPr>
          <w:sz w:val="28"/>
        </w:rPr>
        <w:t>¿Qué ocurre luego?</w:t>
      </w:r>
    </w:p>
    <w:p w14:paraId="40427DBF" w14:textId="77777777" w:rsidR="00AC0B08" w:rsidRDefault="00966107">
      <w:pPr>
        <w:spacing w:after="49"/>
        <w:ind w:right="14"/>
      </w:pPr>
      <w:r>
        <w:t>17.- En diciembre del año 2020 se da inicio des</w:t>
      </w:r>
      <w:r>
        <w:t xml:space="preserve">de el Ministerio de Turismo a un nuevo procedimiento de contratación, de </w:t>
      </w:r>
      <w:r>
        <w:rPr>
          <w:u w:val="single" w:color="000000"/>
        </w:rPr>
        <w:t>forma directa</w:t>
      </w:r>
      <w:r>
        <w:t xml:space="preserve">, para la contratación en vía </w:t>
      </w:r>
      <w:proofErr w:type="spellStart"/>
      <w:r>
        <w:t>publica</w:t>
      </w:r>
      <w:proofErr w:type="spellEnd"/>
      <w:r>
        <w:t xml:space="preserve"> para la temporada 2020-2021, </w:t>
      </w:r>
      <w:r>
        <w:rPr>
          <w:u w:val="single" w:color="000000"/>
        </w:rPr>
        <w:t xml:space="preserve">allí son contratadas tres empresas, una de ellas </w:t>
      </w:r>
      <w:proofErr w:type="spellStart"/>
      <w:r>
        <w:rPr>
          <w:u w:val="single" w:color="000000"/>
        </w:rPr>
        <w:t>Satenil</w:t>
      </w:r>
      <w:proofErr w:type="spellEnd"/>
      <w:r>
        <w:rPr>
          <w:u w:val="single" w:color="000000"/>
        </w:rPr>
        <w:t xml:space="preserve"> S.A (NETCOM) por un importe de $ 13.746.399 (E</w:t>
      </w:r>
      <w:r>
        <w:rPr>
          <w:u w:val="single" w:color="000000"/>
        </w:rPr>
        <w:t>xpediente 2020-9-1-0001937)</w:t>
      </w:r>
      <w:r>
        <w:t>.</w:t>
      </w:r>
    </w:p>
    <w:p w14:paraId="51DEEB37" w14:textId="77777777" w:rsidR="00AC0B08" w:rsidRDefault="00966107">
      <w:pPr>
        <w:ind w:right="14" w:firstLine="850"/>
      </w:pPr>
      <w:r>
        <w:t xml:space="preserve">Recientemente se </w:t>
      </w:r>
      <w:proofErr w:type="gramStart"/>
      <w:r>
        <w:t>da inicio a</w:t>
      </w:r>
      <w:proofErr w:type="gramEnd"/>
      <w:r>
        <w:t xml:space="preserve"> otro procedimiento de contratación directa en el Ministerio de Turismo, en este caso para espacio publicitario en la </w:t>
      </w:r>
      <w:proofErr w:type="spellStart"/>
      <w:r>
        <w:t>Via</w:t>
      </w:r>
      <w:proofErr w:type="spellEnd"/>
      <w:r>
        <w:t xml:space="preserve"> Publica, allí nuevamente aparece </w:t>
      </w:r>
      <w:proofErr w:type="spellStart"/>
      <w:r>
        <w:t>Satenil</w:t>
      </w:r>
      <w:proofErr w:type="spellEnd"/>
      <w:r>
        <w:t xml:space="preserve"> S.A como una de las dos empresas con</w:t>
      </w:r>
      <w:r>
        <w:t xml:space="preserve">tratadas por un monto de $ 24.384.053, circunstancia que no sabemos finalmente si se plasmó o no, hechos que lucen en el Expediente identificado con el N </w:t>
      </w:r>
      <w:r>
        <w:rPr>
          <w:vertAlign w:val="superscript"/>
        </w:rPr>
        <w:t xml:space="preserve">O </w:t>
      </w:r>
      <w:r>
        <w:t>2021-9-1- 000735 y se adjunta con la letra G.</w:t>
      </w:r>
    </w:p>
    <w:p w14:paraId="6FF28D38" w14:textId="77777777" w:rsidR="00AC0B08" w:rsidRDefault="00966107">
      <w:pPr>
        <w:ind w:right="14"/>
      </w:pPr>
      <w:r>
        <w:lastRenderedPageBreak/>
        <w:t xml:space="preserve">Cualquier observador imparcial no podría sino alarmarse ante la insistencia en la contratación, en </w:t>
      </w:r>
      <w:r>
        <w:rPr>
          <w:u w:val="single" w:color="000000"/>
        </w:rPr>
        <w:t>forma directa y por montos millonarios</w:t>
      </w:r>
      <w:r>
        <w:t>, de una empresa cuya propuesta había sido rechazada dos veces, nada menos que por la Dirección de Turismo.</w:t>
      </w:r>
    </w:p>
    <w:p w14:paraId="4720A14B" w14:textId="77777777" w:rsidR="00AC0B08" w:rsidRDefault="00966107">
      <w:pPr>
        <w:spacing w:after="29"/>
        <w:ind w:right="14"/>
      </w:pPr>
      <w:r>
        <w:t>O- Los hech</w:t>
      </w:r>
      <w:r>
        <w:t xml:space="preserve">os denunciados resultan por demás ilustrativos, así como graves, y seguramente la instrucción a recabarse podrá obtener mayores elementos respecto la marcada peculiaridad de </w:t>
      </w:r>
      <w:proofErr w:type="gramStart"/>
      <w:r>
        <w:t>los mismos</w:t>
      </w:r>
      <w:proofErr w:type="gramEnd"/>
      <w:r>
        <w:t>.</w:t>
      </w:r>
    </w:p>
    <w:p w14:paraId="49D88F24" w14:textId="77777777" w:rsidR="00AC0B08" w:rsidRDefault="00966107">
      <w:pPr>
        <w:spacing w:after="137" w:line="259" w:lineRule="auto"/>
        <w:ind w:left="10" w:right="-1" w:hanging="10"/>
        <w:jc w:val="right"/>
      </w:pPr>
      <w:r>
        <w:rPr>
          <w:sz w:val="30"/>
        </w:rPr>
        <w:t>4. DE LAS CONTRATACIONES DE EMPRESAS CUYOS PAGOS</w:t>
      </w:r>
    </w:p>
    <w:p w14:paraId="13F82A34" w14:textId="77777777" w:rsidR="00AC0B08" w:rsidRDefault="00966107">
      <w:pPr>
        <w:pStyle w:val="Ttulo1"/>
        <w:numPr>
          <w:ilvl w:val="0"/>
          <w:numId w:val="0"/>
        </w:numPr>
        <w:ind w:left="10" w:right="7"/>
      </w:pPr>
      <w:r>
        <w:t>FUERON RECHAZADOS DEB</w:t>
      </w:r>
      <w:r>
        <w:t>IDO A NORMAS DE</w:t>
      </w:r>
    </w:p>
    <w:p w14:paraId="3277C35D" w14:textId="77777777" w:rsidR="00AC0B08" w:rsidRDefault="00966107">
      <w:pPr>
        <w:spacing w:after="155" w:line="265" w:lineRule="auto"/>
        <w:ind w:left="1097" w:hanging="10"/>
      </w:pPr>
      <w:r>
        <w:rPr>
          <w:sz w:val="30"/>
        </w:rPr>
        <w:t>PREVENCIÓN DEL LAVADO DE ACTIVOS</w:t>
      </w:r>
    </w:p>
    <w:p w14:paraId="378EA2A6" w14:textId="77777777" w:rsidR="00AC0B08" w:rsidRDefault="00966107">
      <w:pPr>
        <w:spacing w:after="34" w:line="366" w:lineRule="auto"/>
        <w:ind w:right="14" w:firstLine="698"/>
      </w:pPr>
      <w:r>
        <w:rPr>
          <w:noProof/>
        </w:rPr>
        <w:drawing>
          <wp:inline distT="0" distB="0" distL="0" distR="0" wp14:anchorId="18231B35" wp14:editId="15D78ABC">
            <wp:extent cx="4572" cy="4572"/>
            <wp:effectExtent l="0" t="0" r="0" b="0"/>
            <wp:docPr id="21886" name="Picture 2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6" name="Picture 2188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19.- Pasando a analizar otro expediente del cual surgen diversas irregularidades y al cual ya hemos hecho mención, en este caso el identificado con el N </w:t>
      </w:r>
      <w:r>
        <w:rPr>
          <w:sz w:val="28"/>
          <w:vertAlign w:val="superscript"/>
        </w:rPr>
        <w:t xml:space="preserve">O </w:t>
      </w:r>
      <w:r>
        <w:rPr>
          <w:sz w:val="28"/>
        </w:rPr>
        <w:t>2020-9-1-0002067, y agregado con la letra D, contratación en medios digitales para la temporada 2020-</w:t>
      </w:r>
      <w:r>
        <w:rPr>
          <w:sz w:val="28"/>
        </w:rPr>
        <w:t xml:space="preserve"> 2021, aquí se incurrió en un gasto de U$S. 700.000 mediante compra directa a tres empresas, por el mecanismo de excepción, para publicidad digital en nuestro país.</w:t>
      </w:r>
    </w:p>
    <w:p w14:paraId="7602884D" w14:textId="77777777" w:rsidR="00AC0B08" w:rsidRDefault="00966107">
      <w:pPr>
        <w:ind w:right="14" w:firstLine="821"/>
      </w:pPr>
      <w:r>
        <w:t>Una vez más, el gasto mencionado fue observado por el Tribunal de Cuentas a folio 59, por i</w:t>
      </w:r>
      <w:r>
        <w:t>ncumplir con la disposición constitucional del artículo 211, literal B (principio de ejecución), pero el Ministerio de Turismo insistió en el gasto.</w:t>
      </w:r>
    </w:p>
    <w:p w14:paraId="5A33F58C" w14:textId="77777777" w:rsidR="00AC0B08" w:rsidRDefault="00966107">
      <w:pPr>
        <w:spacing w:after="70" w:line="352" w:lineRule="auto"/>
        <w:ind w:right="14" w:firstLine="713"/>
      </w:pPr>
      <w:r>
        <w:rPr>
          <w:sz w:val="28"/>
        </w:rPr>
        <w:t xml:space="preserve">Siguiendo el análisis del referido expediente, vemos como el Ministerio de Turismo no </w:t>
      </w:r>
      <w:r>
        <w:rPr>
          <w:sz w:val="28"/>
        </w:rPr>
        <w:lastRenderedPageBreak/>
        <w:t>logró concretar el pa</w:t>
      </w:r>
      <w:r>
        <w:rPr>
          <w:sz w:val="28"/>
        </w:rPr>
        <w:t>go a dos de las tres empresas seleccionadas.</w:t>
      </w:r>
    </w:p>
    <w:p w14:paraId="165FD434" w14:textId="77777777" w:rsidR="00AC0B08" w:rsidRDefault="00966107">
      <w:pPr>
        <w:spacing w:after="0" w:line="325" w:lineRule="auto"/>
        <w:ind w:left="-8" w:right="21" w:firstLine="785"/>
      </w:pPr>
      <w:r>
        <w:rPr>
          <w:sz w:val="28"/>
        </w:rPr>
        <w:t xml:space="preserve">A una de ellas, Cisneros Interactive Panamá S.A, por U$S 140.000, por </w:t>
      </w:r>
      <w:r>
        <w:rPr>
          <w:sz w:val="28"/>
          <w:u w:val="single" w:color="000000"/>
        </w:rPr>
        <w:t xml:space="preserve">encontrarse el banco pagador ingresado en un país </w:t>
      </w:r>
      <w:proofErr w:type="spellStart"/>
      <w:r>
        <w:rPr>
          <w:sz w:val="28"/>
          <w:u w:val="single" w:color="000000"/>
        </w:rPr>
        <w:t>gue</w:t>
      </w:r>
      <w:proofErr w:type="spellEnd"/>
      <w:r>
        <w:rPr>
          <w:sz w:val="28"/>
          <w:u w:val="single" w:color="000000"/>
        </w:rPr>
        <w:t xml:space="preserve"> integra la lista</w:t>
      </w:r>
    </w:p>
    <w:p w14:paraId="755C8848" w14:textId="77777777" w:rsidR="00AC0B08" w:rsidRDefault="00966107">
      <w:pPr>
        <w:spacing w:after="0" w:line="405" w:lineRule="auto"/>
        <w:ind w:left="-5" w:hanging="10"/>
      </w:pPr>
      <w:r>
        <w:rPr>
          <w:rFonts w:ascii="Times New Roman" w:eastAsia="Times New Roman" w:hAnsi="Times New Roman" w:cs="Times New Roman"/>
          <w:u w:val="single" w:color="000000"/>
        </w:rPr>
        <w:t xml:space="preserve">gris de GAFI, pago rechazado por el BROU, lo cual luce a folio 105, y </w:t>
      </w:r>
      <w:r>
        <w:rPr>
          <w:rFonts w:ascii="Times New Roman" w:eastAsia="Times New Roman" w:hAnsi="Times New Roman" w:cs="Times New Roman"/>
          <w:u w:val="single" w:color="000000"/>
        </w:rPr>
        <w:t xml:space="preserve">la otra, a la firma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Kirma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Services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OU, creada en Estonia, por un monto de U$S. 280.000 por no cumplir con la disposición del artículo 234 del TOPLAFT, por resultar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vulneratoria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de la política de prevención de lavado de activos. lo cual luce a folio 122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 xml:space="preserve">de </w:t>
      </w:r>
      <w:r>
        <w:rPr>
          <w:rFonts w:ascii="Times New Roman" w:eastAsia="Times New Roman" w:hAnsi="Times New Roman" w:cs="Times New Roman"/>
          <w:u w:val="single" w:color="000000"/>
        </w:rPr>
        <w:t>acuerdo al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 xml:space="preserve"> informe vertido desde el</w:t>
      </w:r>
    </w:p>
    <w:p w14:paraId="79E5379A" w14:textId="77777777" w:rsidR="00AC0B08" w:rsidRDefault="0096610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BROU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6992FC1D" w14:textId="77777777" w:rsidR="00AC0B08" w:rsidRDefault="00966107">
      <w:pPr>
        <w:spacing w:after="16" w:line="349" w:lineRule="auto"/>
        <w:ind w:left="-15" w:right="35" w:firstLine="703"/>
      </w:pPr>
      <w:r>
        <w:rPr>
          <w:u w:val="single" w:color="000000"/>
        </w:rPr>
        <w:t>20.-</w:t>
      </w:r>
      <w:r>
        <w:t xml:space="preserve"> No puede calificarse de otra forma que no sea como a alarmante la contratación, </w:t>
      </w:r>
      <w:r>
        <w:rPr>
          <w:u w:val="single" w:color="000000"/>
        </w:rPr>
        <w:t>de forma directa a dos empresas cuyos pagos fueron rechazados por el BROU, una por encontrarse el banco pagador ingresado en la l</w:t>
      </w:r>
      <w:r>
        <w:rPr>
          <w:u w:val="single" w:color="000000"/>
        </w:rPr>
        <w:t xml:space="preserve">ista gris del GAFI, y_ la otra y_ más preocupante por no cumplir con la aplicación del </w:t>
      </w:r>
      <w:proofErr w:type="spellStart"/>
      <w:r>
        <w:rPr>
          <w:u w:val="single" w:color="000000"/>
        </w:rPr>
        <w:t>articulo</w:t>
      </w:r>
      <w:proofErr w:type="spellEnd"/>
      <w:r>
        <w:rPr>
          <w:u w:val="single" w:color="000000"/>
        </w:rPr>
        <w:t xml:space="preserve"> 234 del TOPLAFT</w:t>
      </w:r>
      <w:r>
        <w:t>.</w:t>
      </w:r>
    </w:p>
    <w:p w14:paraId="46DED766" w14:textId="77777777" w:rsidR="00AC0B08" w:rsidRDefault="00966107">
      <w:pPr>
        <w:ind w:right="14"/>
      </w:pPr>
      <w:r>
        <w:t>Nuevamente: no estamos aquí ante meros incumplimientos ritualistas procedimentales de normas cuyo fundamento no tiene un carácter sustancial im</w:t>
      </w:r>
      <w:r>
        <w:t xml:space="preserve">portante. Muy por el contrario, estamos ante una escandalosa situación, en la que se contrató de forma directa a </w:t>
      </w:r>
      <w:r>
        <w:rPr>
          <w:u w:val="single" w:color="000000"/>
        </w:rPr>
        <w:t xml:space="preserve">una empresa con sede en Estonia sin ningún tipo de referencia ni </w:t>
      </w:r>
      <w:proofErr w:type="gramStart"/>
      <w:r>
        <w:rPr>
          <w:u w:val="single" w:color="000000"/>
        </w:rPr>
        <w:t>antecedentes previos</w:t>
      </w:r>
      <w:proofErr w:type="gramEnd"/>
      <w:r>
        <w:rPr>
          <w:u w:val="single" w:color="000000"/>
        </w:rPr>
        <w:t xml:space="preserve"> por un monto de U$S 280.000</w:t>
      </w:r>
      <w:r>
        <w:t xml:space="preserve">. A su vez, </w:t>
      </w:r>
      <w:r>
        <w:rPr>
          <w:u w:val="single" w:color="000000"/>
        </w:rPr>
        <w:t>una empresa que no</w:t>
      </w:r>
      <w:r>
        <w:rPr>
          <w:u w:val="single" w:color="000000"/>
        </w:rPr>
        <w:t xml:space="preserve"> tiene sede ni representantes en nuestro país</w:t>
      </w:r>
      <w:r>
        <w:t>, pese a que el denunciado había afirmado lo contrario al</w:t>
      </w:r>
    </w:p>
    <w:p w14:paraId="6DFA4F59" w14:textId="77777777" w:rsidR="00AC0B08" w:rsidRDefault="00966107">
      <w:pPr>
        <w:spacing w:after="217" w:line="259" w:lineRule="auto"/>
        <w:ind w:left="17" w:right="14" w:hanging="3"/>
      </w:pPr>
      <w:r>
        <w:t>Semanario Búsqueda.</w:t>
      </w:r>
      <w:r>
        <w:rPr>
          <w:vertAlign w:val="superscript"/>
        </w:rPr>
        <w:footnoteReference w:id="1"/>
      </w:r>
    </w:p>
    <w:p w14:paraId="36C30DBB" w14:textId="77777777" w:rsidR="00AC0B08" w:rsidRDefault="00966107">
      <w:pPr>
        <w:spacing w:after="56"/>
        <w:ind w:right="14"/>
      </w:pPr>
      <w:r>
        <w:lastRenderedPageBreak/>
        <w:t>¿Por qué extraña vía se contactó a dicha empresa sin sede ni representantes en Uruguay? ¿Cómo llega una ignora empresa estonia a se</w:t>
      </w:r>
      <w:r>
        <w:t>r contratada de forma directa, en forma millonaria, por el denunciado?</w:t>
      </w:r>
    </w:p>
    <w:p w14:paraId="73F29745" w14:textId="77777777" w:rsidR="00AC0B08" w:rsidRDefault="00966107">
      <w:pPr>
        <w:spacing w:after="3" w:line="364" w:lineRule="auto"/>
        <w:ind w:right="14" w:firstLine="720"/>
      </w:pPr>
      <w:r>
        <w:rPr>
          <w:sz w:val="28"/>
        </w:rPr>
        <w:t xml:space="preserve">De la nota de prensa aludida podemos determinar cómo la empresa </w:t>
      </w:r>
      <w:proofErr w:type="spellStart"/>
      <w:r>
        <w:rPr>
          <w:sz w:val="28"/>
          <w:u w:val="single" w:color="000000"/>
        </w:rPr>
        <w:t>Kirma</w:t>
      </w:r>
      <w:proofErr w:type="spellEnd"/>
      <w:r>
        <w:rPr>
          <w:sz w:val="28"/>
          <w:u w:val="single" w:color="000000"/>
        </w:rPr>
        <w:t xml:space="preserve"> </w:t>
      </w:r>
      <w:proofErr w:type="spellStart"/>
      <w:r>
        <w:rPr>
          <w:sz w:val="28"/>
          <w:u w:val="single" w:color="000000"/>
        </w:rPr>
        <w:t>Services</w:t>
      </w:r>
      <w:proofErr w:type="spellEnd"/>
      <w:r>
        <w:rPr>
          <w:sz w:val="28"/>
          <w:u w:val="single" w:color="000000"/>
        </w:rPr>
        <w:t xml:space="preserve"> OU no tenía sede ni había operado en nuestro país, no tenía </w:t>
      </w:r>
      <w:r>
        <w:rPr>
          <w:sz w:val="28"/>
          <w:u w:val="single" w:color="000000"/>
        </w:rPr>
        <w:t>empleados ni siquiera un representante lega</w:t>
      </w:r>
      <w:r>
        <w:rPr>
          <w:sz w:val="28"/>
        </w:rPr>
        <w:t>l, propuso una cesión de crédito la cual luce a folio 137 del expediente en cuestión como forma de solucionar el pago con una empresa llam</w:t>
      </w:r>
      <w:r>
        <w:rPr>
          <w:sz w:val="28"/>
        </w:rPr>
        <w:t xml:space="preserve">ada Sarasota Global </w:t>
      </w:r>
      <w:proofErr w:type="spellStart"/>
      <w:r>
        <w:rPr>
          <w:sz w:val="28"/>
        </w:rPr>
        <w:t>Investment</w:t>
      </w:r>
      <w:proofErr w:type="spellEnd"/>
      <w:r>
        <w:rPr>
          <w:sz w:val="28"/>
        </w:rPr>
        <w:t xml:space="preserve"> Inc., de la cual según el Semanario Busqueda</w:t>
      </w:r>
      <w:r>
        <w:rPr>
          <w:sz w:val="28"/>
          <w:vertAlign w:val="superscript"/>
        </w:rPr>
        <w:t xml:space="preserve">6 </w:t>
      </w:r>
      <w:r>
        <w:rPr>
          <w:sz w:val="28"/>
        </w:rPr>
        <w:t>"fue constituida en abril del 2021, en</w:t>
      </w:r>
    </w:p>
    <w:p w14:paraId="3CA23830" w14:textId="77777777" w:rsidR="00AC0B08" w:rsidRDefault="00966107">
      <w:pPr>
        <w:spacing w:after="35"/>
        <w:ind w:right="14" w:firstLine="14"/>
      </w:pPr>
      <w:r>
        <w:t>Florida (Estados Unidos), y en el documento con el que se solicita su registro, al que accedió Búsqueda, dice que su propósito de creación e</w:t>
      </w:r>
      <w:r>
        <w:t xml:space="preserve">s "cualquier negocio legal". Sarasota Global </w:t>
      </w:r>
      <w:proofErr w:type="spellStart"/>
      <w:r>
        <w:t>Investment</w:t>
      </w:r>
      <w:proofErr w:type="spellEnd"/>
      <w:r>
        <w:t xml:space="preserve"> Inc. tiene como cara visible a María Campana Alban, quien además es representante de varias empresas creadas durante este año y domiciliadas en un mismo lugar en</w:t>
      </w:r>
    </w:p>
    <w:p w14:paraId="365268AC" w14:textId="77777777" w:rsidR="00AC0B08" w:rsidRDefault="00966107">
      <w:pPr>
        <w:spacing w:after="180" w:line="259" w:lineRule="auto"/>
        <w:ind w:left="17" w:right="14" w:hanging="3"/>
      </w:pPr>
      <w:r>
        <w:rPr>
          <w:sz w:val="28"/>
        </w:rPr>
        <w:t xml:space="preserve">Florida: 9907 </w:t>
      </w:r>
      <w:proofErr w:type="spellStart"/>
      <w:r>
        <w:rPr>
          <w:sz w:val="28"/>
        </w:rPr>
        <w:t>Three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Lakes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Circle</w:t>
      </w:r>
      <w:proofErr w:type="spellEnd"/>
      <w:r>
        <w:rPr>
          <w:sz w:val="28"/>
        </w:rPr>
        <w:t>, Boca</w:t>
      </w:r>
      <w:r>
        <w:rPr>
          <w:sz w:val="28"/>
        </w:rPr>
        <w:t xml:space="preserve"> </w:t>
      </w:r>
      <w:proofErr w:type="spellStart"/>
      <w:r>
        <w:rPr>
          <w:sz w:val="28"/>
        </w:rPr>
        <w:t>Raton</w:t>
      </w:r>
      <w:proofErr w:type="spellEnd"/>
      <w:r>
        <w:rPr>
          <w:sz w:val="28"/>
        </w:rPr>
        <w:t>, 33428</w:t>
      </w:r>
    </w:p>
    <w:p w14:paraId="12866328" w14:textId="77777777" w:rsidR="00AC0B08" w:rsidRDefault="00966107">
      <w:pPr>
        <w:spacing w:after="85"/>
        <w:ind w:right="14"/>
      </w:pPr>
      <w:r>
        <w:t>21.- En definitiva, los hechos reseñados supra reflejan una flagrante irregularidad y desidia de parte del denunciado en el ejercicio de la buena administración, por decir lo menos, no solo por los montos imputados dado la escasa o nula tempo</w:t>
      </w:r>
      <w:r>
        <w:t xml:space="preserve">rada </w:t>
      </w:r>
      <w:r>
        <w:lastRenderedPageBreak/>
        <w:t>turística que tuvimos, sino por la forma de contratación y las empresas seleccionadas, lo que deja a las claras una forma absolutamente rechazable en el uso adecuado y cauteloso de los dineros públicos.</w:t>
      </w:r>
    </w:p>
    <w:p w14:paraId="4896B2BF" w14:textId="77777777" w:rsidR="00AC0B08" w:rsidRDefault="00966107">
      <w:pPr>
        <w:ind w:right="14"/>
      </w:pPr>
      <w:r>
        <w:t xml:space="preserve">En el presente caso vemos como el denunciado le </w:t>
      </w:r>
      <w:r>
        <w:t xml:space="preserve">generó un perjuicio evidente a la Administración, la expuso de forma palmaria, ya que contrató directamente con una empresa sin antecedentes, con un beneficiario que no pudo cobrar el importe respectivo por </w:t>
      </w:r>
      <w:r>
        <w:rPr>
          <w:u w:val="single" w:color="000000"/>
        </w:rPr>
        <w:t>encontrarse bajo la órbita de la</w:t>
      </w:r>
    </w:p>
    <w:p w14:paraId="58543296" w14:textId="77777777" w:rsidR="00AC0B08" w:rsidRDefault="00966107">
      <w:pPr>
        <w:spacing w:after="16" w:line="349" w:lineRule="auto"/>
        <w:ind w:left="-8" w:right="35" w:hanging="7"/>
      </w:pPr>
      <w:r>
        <w:rPr>
          <w:u w:val="single" w:color="000000"/>
        </w:rPr>
        <w:t xml:space="preserve">prevención de lavado de activos y financiamiento del terrorismo. situación </w:t>
      </w:r>
      <w:r>
        <w:rPr>
          <w:u w:val="single" w:color="000000"/>
        </w:rPr>
        <w:t>que no fue advertida por el Ministerio que el propio denunciado dirigía</w:t>
      </w:r>
      <w:r>
        <w:t>, salvo por el BROU que rechazó el pago en tiempo y forma.</w:t>
      </w:r>
    </w:p>
    <w:p w14:paraId="31257F3B" w14:textId="77777777" w:rsidR="00AC0B08" w:rsidRDefault="00966107">
      <w:pPr>
        <w:ind w:right="14"/>
      </w:pPr>
      <w:r>
        <w:t>La situación narrada ha sido tapa permanente en med</w:t>
      </w:r>
      <w:r>
        <w:t xml:space="preserve">ios de prensa a lo largo de semanas, tan es así que recientemente nos enteramos </w:t>
      </w:r>
      <w:proofErr w:type="gramStart"/>
      <w:r>
        <w:t>que</w:t>
      </w:r>
      <w:proofErr w:type="gramEnd"/>
      <w:r>
        <w:t xml:space="preserve"> la empresa </w:t>
      </w:r>
      <w:proofErr w:type="spellStart"/>
      <w:r>
        <w:t>Kirma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OU </w:t>
      </w:r>
      <w:r>
        <w:rPr>
          <w:u w:val="single" w:color="000000"/>
        </w:rPr>
        <w:t>ha renunciado a su crédito o sea no</w:t>
      </w:r>
    </w:p>
    <w:p w14:paraId="068ED301" w14:textId="77777777" w:rsidR="00AC0B08" w:rsidRDefault="00966107">
      <w:pPr>
        <w:spacing w:after="86" w:line="259" w:lineRule="auto"/>
        <w:ind w:left="-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8F216E8" wp14:editId="4A657622">
                <wp:extent cx="1312164" cy="9144"/>
                <wp:effectExtent l="0" t="0" r="0" b="0"/>
                <wp:docPr id="61990" name="Group 6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164" cy="9144"/>
                          <a:chOff x="0" y="0"/>
                          <a:chExt cx="1312164" cy="9144"/>
                        </a:xfrm>
                      </wpg:grpSpPr>
                      <wps:wsp>
                        <wps:cNvPr id="61989" name="Shape 61989"/>
                        <wps:cNvSpPr/>
                        <wps:spPr>
                          <a:xfrm>
                            <a:off x="0" y="0"/>
                            <a:ext cx="1312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4" h="9144">
                                <a:moveTo>
                                  <a:pt x="0" y="4572"/>
                                </a:moveTo>
                                <a:lnTo>
                                  <a:pt x="13121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990" style="width:103.32pt;height:0.719971pt;mso-position-horizontal-relative:char;mso-position-vertical-relative:line" coordsize="13121,91">
                <v:shape id="Shape 61989" style="position:absolute;width:13121;height:91;left:0;top:0;" coordsize="1312164,9144" path="m0,4572l1312164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041754D" w14:textId="77777777" w:rsidR="00AC0B08" w:rsidRDefault="00966107">
      <w:pPr>
        <w:spacing w:after="42" w:line="216" w:lineRule="auto"/>
        <w:ind w:left="290" w:hanging="10"/>
        <w:jc w:val="left"/>
      </w:pPr>
      <w:r>
        <w:rPr>
          <w:sz w:val="22"/>
        </w:rPr>
        <w:t>uc49298</w:t>
      </w:r>
    </w:p>
    <w:p w14:paraId="5A3DDDB1" w14:textId="77777777" w:rsidR="00AC0B08" w:rsidRDefault="00966107">
      <w:pPr>
        <w:spacing w:after="0" w:line="358" w:lineRule="auto"/>
        <w:ind w:left="0" w:firstLine="0"/>
        <w:jc w:val="left"/>
      </w:pPr>
      <w:proofErr w:type="spellStart"/>
      <w:r>
        <w:rPr>
          <w:sz w:val="28"/>
          <w:u w:val="single" w:color="000000"/>
        </w:rPr>
        <w:t>auiere</w:t>
      </w:r>
      <w:proofErr w:type="spellEnd"/>
      <w:r>
        <w:rPr>
          <w:sz w:val="28"/>
          <w:u w:val="single" w:color="000000"/>
        </w:rPr>
        <w:t xml:space="preserve"> cobrar U$S 280.000, en palabras del actual </w:t>
      </w:r>
      <w:proofErr w:type="gramStart"/>
      <w:r>
        <w:rPr>
          <w:sz w:val="28"/>
          <w:u w:val="single" w:color="000000"/>
        </w:rPr>
        <w:t>Ministro</w:t>
      </w:r>
      <w:proofErr w:type="gramEnd"/>
      <w:r>
        <w:rPr>
          <w:sz w:val="28"/>
          <w:u w:val="single" w:color="000000"/>
        </w:rPr>
        <w:t xml:space="preserve"> de Turismo, Tabaré Viera el mismo expr</w:t>
      </w:r>
      <w:r>
        <w:rPr>
          <w:sz w:val="28"/>
          <w:u w:val="single" w:color="000000"/>
        </w:rPr>
        <w:t>esó</w:t>
      </w:r>
      <w:r>
        <w:rPr>
          <w:sz w:val="28"/>
          <w:u w:val="single" w:color="000000"/>
          <w:vertAlign w:val="superscript"/>
        </w:rPr>
        <w:footnoteReference w:id="2"/>
      </w:r>
      <w:r>
        <w:rPr>
          <w:sz w:val="28"/>
          <w:u w:val="single" w:color="000000"/>
          <w:vertAlign w:val="superscript"/>
        </w:rPr>
        <w:t xml:space="preserve"> </w:t>
      </w:r>
      <w:r>
        <w:rPr>
          <w:sz w:val="28"/>
          <w:u w:val="single" w:color="000000"/>
        </w:rPr>
        <w:t>"Recibimos un mensaje que desisten</w:t>
      </w:r>
    </w:p>
    <w:p w14:paraId="126EBD86" w14:textId="77777777" w:rsidR="00AC0B08" w:rsidRDefault="00966107">
      <w:pPr>
        <w:spacing w:after="0" w:line="365" w:lineRule="auto"/>
        <w:ind w:firstLine="0"/>
        <w:jc w:val="left"/>
      </w:pPr>
      <w:r>
        <w:rPr>
          <w:sz w:val="30"/>
          <w:u w:val="single" w:color="000000"/>
        </w:rPr>
        <w:t>de su oferta", dijo Viera, y agregó que no explicaron los motivos, pero que simplemente "no quieren estar en el lío"</w:t>
      </w:r>
      <w:r>
        <w:rPr>
          <w:sz w:val="30"/>
        </w:rPr>
        <w:t>.</w:t>
      </w:r>
    </w:p>
    <w:p w14:paraId="3D697893" w14:textId="77777777" w:rsidR="00AC0B08" w:rsidRDefault="00966107">
      <w:pPr>
        <w:ind w:right="14"/>
      </w:pPr>
      <w:r>
        <w:t>Tal intrigante justificación no hace sino agravar el manto de sospecha que pesa sobre el rocambolesco episodio.</w:t>
      </w:r>
    </w:p>
    <w:p w14:paraId="12437067" w14:textId="77777777" w:rsidR="00AC0B08" w:rsidRDefault="00966107">
      <w:pPr>
        <w:pStyle w:val="Ttulo1"/>
        <w:ind w:left="511" w:right="7" w:hanging="511"/>
      </w:pPr>
      <w:r>
        <w:lastRenderedPageBreak/>
        <w:t>CONFORMACIÓN DE FACTURAS POR PARTE DEL</w:t>
      </w:r>
    </w:p>
    <w:p w14:paraId="403BE075" w14:textId="77777777" w:rsidR="00AC0B08" w:rsidRDefault="00966107">
      <w:pPr>
        <w:spacing w:after="662" w:line="265" w:lineRule="auto"/>
        <w:ind w:left="24" w:hanging="10"/>
      </w:pPr>
      <w:r>
        <w:rPr>
          <w:sz w:val="30"/>
        </w:rPr>
        <w:t>DENUNCIADO Y DEL ADSCRIPTO SR. DANIEL RETA</w:t>
      </w:r>
    </w:p>
    <w:p w14:paraId="541EB574" w14:textId="77777777" w:rsidR="00AC0B08" w:rsidRDefault="00966107">
      <w:pPr>
        <w:ind w:right="14"/>
      </w:pPr>
      <w:r>
        <w:t xml:space="preserve">Por último, debemos denunciar otro hecho que a todas luces es </w:t>
      </w:r>
      <w:r>
        <w:t>absolutamente irregular dado que confronta y viola las normas referentes a la contratación administrativa.</w:t>
      </w:r>
    </w:p>
    <w:p w14:paraId="392411E3" w14:textId="77777777" w:rsidR="00AC0B08" w:rsidRDefault="00966107">
      <w:pPr>
        <w:spacing w:after="66"/>
        <w:ind w:right="14"/>
      </w:pPr>
      <w:r>
        <w:rPr>
          <w:sz w:val="28"/>
        </w:rPr>
        <w:t xml:space="preserve">En alguno de los expedientes que agregamos vemos como el ex </w:t>
      </w:r>
      <w:proofErr w:type="gramStart"/>
      <w:r>
        <w:rPr>
          <w:sz w:val="28"/>
        </w:rPr>
        <w:t>Ministro</w:t>
      </w:r>
      <w:proofErr w:type="gramEnd"/>
      <w:r>
        <w:rPr>
          <w:sz w:val="28"/>
        </w:rPr>
        <w:t xml:space="preserve"> de Estado recurre a una actividad material administrativa totalmente inusual y a</w:t>
      </w:r>
      <w:r>
        <w:rPr>
          <w:sz w:val="28"/>
        </w:rPr>
        <w:t xml:space="preserve">jena a dicho cargo, </w:t>
      </w:r>
      <w:r>
        <w:rPr>
          <w:sz w:val="28"/>
          <w:u w:val="single" w:color="000000"/>
        </w:rPr>
        <w:t xml:space="preserve">CONFORMANDO DE SU PUÑO Y LETRA </w:t>
      </w:r>
      <w:r>
        <w:rPr>
          <w:noProof/>
        </w:rPr>
        <w:drawing>
          <wp:inline distT="0" distB="0" distL="0" distR="0" wp14:anchorId="3171C481" wp14:editId="748C4DA5">
            <wp:extent cx="27432" cy="22860"/>
            <wp:effectExtent l="0" t="0" r="0" b="0"/>
            <wp:docPr id="27248" name="Picture 27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8" name="Picture 272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u w:val="single" w:color="000000"/>
        </w:rPr>
        <w:t xml:space="preserve">facturas que no debió conformar de acuerdo a la normativa </w:t>
      </w:r>
      <w:proofErr w:type="spellStart"/>
      <w:r>
        <w:rPr>
          <w:sz w:val="28"/>
          <w:u w:val="single" w:color="000000"/>
        </w:rPr>
        <w:t>gue</w:t>
      </w:r>
      <w:proofErr w:type="spellEnd"/>
      <w:r>
        <w:rPr>
          <w:sz w:val="28"/>
          <w:u w:val="single" w:color="000000"/>
        </w:rPr>
        <w:t xml:space="preserve"> citaremos a continuación.</w:t>
      </w:r>
    </w:p>
    <w:p w14:paraId="37CEF6C6" w14:textId="77777777" w:rsidR="00AC0B08" w:rsidRDefault="00966107">
      <w:pPr>
        <w:spacing w:after="58" w:line="360" w:lineRule="auto"/>
        <w:ind w:left="-15" w:right="-11" w:firstLine="713"/>
      </w:pPr>
      <w:r>
        <w:rPr>
          <w:sz w:val="30"/>
        </w:rPr>
        <w:t xml:space="preserve">El artículo 31 del TOCAF expresa en su inciso primero que "Son </w:t>
      </w:r>
      <w:r>
        <w:rPr>
          <w:sz w:val="30"/>
        </w:rPr>
        <w:t>ordenadores de pagos, además de los ordenadores de ga</w:t>
      </w:r>
      <w:r>
        <w:rPr>
          <w:sz w:val="30"/>
        </w:rPr>
        <w:t xml:space="preserve">stos los </w:t>
      </w:r>
      <w:proofErr w:type="gramStart"/>
      <w:r>
        <w:rPr>
          <w:sz w:val="30"/>
        </w:rPr>
        <w:t>Directores</w:t>
      </w:r>
      <w:proofErr w:type="gramEnd"/>
      <w:r>
        <w:rPr>
          <w:sz w:val="30"/>
        </w:rPr>
        <w:t xml:space="preserve"> de servicios administrativos o funcionarios autorizados al efecto, pudiendo librar las órdenes que determina el artículo 22 del presente Texto Ordenado sin limitación de monto."</w:t>
      </w:r>
    </w:p>
    <w:p w14:paraId="19DDE472" w14:textId="77777777" w:rsidR="00AC0B08" w:rsidRDefault="00966107">
      <w:pPr>
        <w:ind w:right="14"/>
      </w:pPr>
      <w:r>
        <w:t xml:space="preserve">Considerando la normativa citada, el </w:t>
      </w:r>
      <w:proofErr w:type="gramStart"/>
      <w:r>
        <w:t>ex Ministro</w:t>
      </w:r>
      <w:proofErr w:type="gramEnd"/>
      <w:r>
        <w:t xml:space="preserve"> Cardoso n</w:t>
      </w:r>
      <w:r>
        <w:t>o debió conformar facturas, cuando lo regular es que lo haga el ordenador del gasto asignado a seguir las campañas, en este caso el Director de Turismo, esta situación se reitera en varias ocasiones, por ejemplo de folio 110 a 112 del Expediente 2020-9-1-</w:t>
      </w:r>
      <w:r>
        <w:lastRenderedPageBreak/>
        <w:t>0</w:t>
      </w:r>
      <w:r>
        <w:t>001937 el denunciado conforma tres facturas, lo que evidencia a las claras la irregularidad denunciada.</w:t>
      </w:r>
    </w:p>
    <w:p w14:paraId="7091AD12" w14:textId="77777777" w:rsidR="00AC0B08" w:rsidRDefault="00966107">
      <w:pPr>
        <w:spacing w:after="0" w:line="343" w:lineRule="auto"/>
        <w:ind w:firstLine="720"/>
      </w:pPr>
      <w:r>
        <w:rPr>
          <w:sz w:val="30"/>
        </w:rPr>
        <w:t xml:space="preserve">La circunstancia relatada se da también en el Expediente 2020-9-10002067, </w:t>
      </w:r>
      <w:r>
        <w:rPr>
          <w:sz w:val="30"/>
          <w:u w:val="single" w:color="000000"/>
        </w:rPr>
        <w:t>allí el denunciado conforma tres facturas por un monto total de U$S 700.000,</w:t>
      </w:r>
      <w:r>
        <w:rPr>
          <w:sz w:val="30"/>
        </w:rPr>
        <w:t xml:space="preserve"> f</w:t>
      </w:r>
      <w:r>
        <w:rPr>
          <w:sz w:val="30"/>
        </w:rPr>
        <w:t xml:space="preserve">olio 68 a 70, con el agravante en este caso que el servicio por parte de una de las empresas jamás se prestó, nos referimos a la ya </w:t>
      </w:r>
      <w:r>
        <w:rPr>
          <w:sz w:val="30"/>
          <w:u w:val="single" w:color="000000"/>
        </w:rPr>
        <w:t xml:space="preserve">ignota </w:t>
      </w:r>
      <w:proofErr w:type="spellStart"/>
      <w:r>
        <w:rPr>
          <w:sz w:val="30"/>
        </w:rPr>
        <w:t>Kirma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Services</w:t>
      </w:r>
      <w:proofErr w:type="spellEnd"/>
      <w:r>
        <w:rPr>
          <w:sz w:val="30"/>
        </w:rPr>
        <w:t xml:space="preserve"> OU.</w:t>
      </w:r>
    </w:p>
    <w:p w14:paraId="1FA98C91" w14:textId="77777777" w:rsidR="00AC0B08" w:rsidRDefault="00966107">
      <w:pPr>
        <w:ind w:right="14"/>
      </w:pPr>
      <w:r>
        <w:t>Otra circunstancia que merece ser denunciada y por lo tanto investigada es que propio el Adscripto</w:t>
      </w:r>
      <w:r>
        <w:t xml:space="preserve"> del </w:t>
      </w:r>
      <w:proofErr w:type="gramStart"/>
      <w:r>
        <w:t>ex Ministro</w:t>
      </w:r>
      <w:proofErr w:type="gramEnd"/>
      <w:r>
        <w:t xml:space="preserve">, Sr. Daniel Reta también conformaba facturas, funcionario adjunto de la cartera, sin las facultades legales debidas para ser un ordenador de gasto, sin embargo y </w:t>
      </w:r>
      <w:proofErr w:type="spellStart"/>
      <w:r>
        <w:t>como</w:t>
      </w:r>
      <w:proofErr w:type="spellEnd"/>
      <w:r>
        <w:t xml:space="preserve"> podemos apreciar en más de una oportunidad conformo facturas, esto lo ve</w:t>
      </w:r>
      <w:r>
        <w:t>mos por ejemplo reflejado en los folios 101 a 109 del expediente</w:t>
      </w:r>
    </w:p>
    <w:p w14:paraId="4682686C" w14:textId="77777777" w:rsidR="00AC0B08" w:rsidRDefault="00966107">
      <w:pPr>
        <w:spacing w:after="247" w:line="259" w:lineRule="auto"/>
        <w:ind w:left="2" w:right="64" w:hanging="10"/>
      </w:pPr>
      <w:r>
        <w:rPr>
          <w:rFonts w:ascii="Times New Roman" w:eastAsia="Times New Roman" w:hAnsi="Times New Roman" w:cs="Times New Roman"/>
        </w:rPr>
        <w:t>2020-9-1-0001937.</w:t>
      </w:r>
    </w:p>
    <w:p w14:paraId="13ECD798" w14:textId="77777777" w:rsidR="00AC0B08" w:rsidRDefault="00966107">
      <w:pPr>
        <w:ind w:right="14"/>
      </w:pPr>
      <w:r>
        <w:t>Esta situación deja a las claras una flagrante irregularidad, los ministros no conforman facturas, mucho menos el adscripto de un ministro, los que realizan tal gestión administrativa son los servicios ordenadores y financieros habilitados para ello, quien</w:t>
      </w:r>
      <w:r>
        <w:t xml:space="preserve">es tienen la atribución y el control efectivo de la prestación del servicio contratado, sin embargo, en los hechos denunciados sucedía todo lo contrario, el denunciado conformó facturas y el propio adscripto, Sr. Daniel Reta, lo que evidencia una contumaz </w:t>
      </w:r>
      <w:r>
        <w:lastRenderedPageBreak/>
        <w:t>ilicitud de las normas de contabilidad financiera que debe ser investigada.</w:t>
      </w:r>
    </w:p>
    <w:p w14:paraId="0017AC54" w14:textId="77777777" w:rsidR="00AC0B08" w:rsidRDefault="00966107">
      <w:pPr>
        <w:spacing w:after="53"/>
        <w:ind w:right="14"/>
      </w:pPr>
      <w:r>
        <w:t>La situación es de una flagrante gravedad y arbitrariedad tal que exime de mayores comentarios.</w:t>
      </w:r>
    </w:p>
    <w:p w14:paraId="273AB848" w14:textId="77777777" w:rsidR="00AC0B08" w:rsidRDefault="00966107">
      <w:pPr>
        <w:ind w:right="14"/>
      </w:pPr>
      <w:r>
        <w:rPr>
          <w:noProof/>
        </w:rPr>
        <w:drawing>
          <wp:inline distT="0" distB="0" distL="0" distR="0" wp14:anchorId="458BA967" wp14:editId="19EEB501">
            <wp:extent cx="260604" cy="132588"/>
            <wp:effectExtent l="0" t="0" r="0" b="0"/>
            <wp:docPr id="61992" name="Picture 61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2" name="Picture 6199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604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Finalmente, no caben dudas respecto a que toda esta situación ha generado un impact</w:t>
      </w:r>
      <w:r>
        <w:t>o publico alarmante, le ha generado un daño institucional a nuestro Estado, a la imagen del mismo como principal impulsor y motor turístico, todo ello por un accionar reñido con las buenas prácticas administrativas, impulsado sin los asesoramientos y recau</w:t>
      </w:r>
      <w:r>
        <w:t>do debidos, lo cual debe inevitablemente ser analizado y estudiado a fondo por la Fiscalía a los efectos de dilucidar los ilícitos penales que puedan haberse generado, así como la eventual participación en estos de otras personas además del denunciado.</w:t>
      </w:r>
    </w:p>
    <w:p w14:paraId="12BC6A9E" w14:textId="77777777" w:rsidR="00AC0B08" w:rsidRDefault="00966107">
      <w:pPr>
        <w:spacing w:after="148" w:line="259" w:lineRule="auto"/>
        <w:ind w:left="734" w:firstLine="4"/>
      </w:pPr>
      <w:r>
        <w:rPr>
          <w:sz w:val="32"/>
        </w:rPr>
        <w:t xml:space="preserve">6. </w:t>
      </w:r>
      <w:r>
        <w:rPr>
          <w:sz w:val="32"/>
        </w:rPr>
        <w:t>PRUEBA</w:t>
      </w:r>
    </w:p>
    <w:p w14:paraId="6152E2F3" w14:textId="77777777" w:rsidR="00AC0B08" w:rsidRDefault="00966107">
      <w:pPr>
        <w:spacing w:after="218" w:line="259" w:lineRule="auto"/>
        <w:ind w:left="734" w:right="14" w:firstLine="0"/>
      </w:pPr>
      <w:r>
        <w:t>Como prueba adjuntamos:</w:t>
      </w:r>
    </w:p>
    <w:p w14:paraId="43D95CEB" w14:textId="77777777" w:rsidR="00AC0B08" w:rsidRDefault="00966107">
      <w:pPr>
        <w:spacing w:after="205" w:line="259" w:lineRule="auto"/>
        <w:ind w:left="392" w:right="14" w:hanging="3"/>
      </w:pPr>
      <w:r>
        <w:rPr>
          <w:sz w:val="28"/>
        </w:rPr>
        <w:t>1. Documental:</w:t>
      </w:r>
    </w:p>
    <w:p w14:paraId="04CE78A5" w14:textId="77777777" w:rsidR="00AC0B08" w:rsidRDefault="00966107">
      <w:pPr>
        <w:numPr>
          <w:ilvl w:val="0"/>
          <w:numId w:val="1"/>
        </w:numPr>
        <w:spacing w:after="156" w:line="259" w:lineRule="auto"/>
        <w:ind w:right="14" w:hanging="295"/>
      </w:pPr>
      <w:r>
        <w:t xml:space="preserve">copia de Expediente N </w:t>
      </w:r>
      <w:r>
        <w:rPr>
          <w:vertAlign w:val="superscript"/>
        </w:rPr>
        <w:t xml:space="preserve">O </w:t>
      </w:r>
      <w:r>
        <w:t>2020-9-1-0001937</w:t>
      </w:r>
    </w:p>
    <w:p w14:paraId="7FF6FA2D" w14:textId="77777777" w:rsidR="00AC0B08" w:rsidRDefault="00966107">
      <w:pPr>
        <w:numPr>
          <w:ilvl w:val="0"/>
          <w:numId w:val="1"/>
        </w:numPr>
        <w:spacing w:after="187" w:line="259" w:lineRule="auto"/>
        <w:ind w:right="14" w:hanging="295"/>
      </w:pPr>
      <w:r>
        <w:t xml:space="preserve">copia de Expediente N </w:t>
      </w:r>
      <w:r>
        <w:rPr>
          <w:vertAlign w:val="superscript"/>
        </w:rPr>
        <w:t xml:space="preserve">O </w:t>
      </w:r>
      <w:r>
        <w:t>2020- 9- 1- 0001987</w:t>
      </w:r>
    </w:p>
    <w:p w14:paraId="40E87EF1" w14:textId="77777777" w:rsidR="00AC0B08" w:rsidRDefault="00966107">
      <w:pPr>
        <w:numPr>
          <w:ilvl w:val="0"/>
          <w:numId w:val="1"/>
        </w:numPr>
        <w:spacing w:after="160" w:line="259" w:lineRule="auto"/>
        <w:ind w:right="14" w:hanging="295"/>
      </w:pPr>
      <w:r>
        <w:t>copia de Expediente N</w:t>
      </w:r>
      <w:r>
        <w:rPr>
          <w:vertAlign w:val="superscript"/>
        </w:rPr>
        <w:t xml:space="preserve">O </w:t>
      </w:r>
      <w:r>
        <w:t>2020-9-1-0001946</w:t>
      </w:r>
    </w:p>
    <w:p w14:paraId="325AC14A" w14:textId="77777777" w:rsidR="00AC0B08" w:rsidRDefault="00966107">
      <w:pPr>
        <w:numPr>
          <w:ilvl w:val="0"/>
          <w:numId w:val="1"/>
        </w:numPr>
        <w:spacing w:after="189" w:line="259" w:lineRule="auto"/>
        <w:ind w:right="14" w:hanging="295"/>
      </w:pPr>
      <w:r>
        <w:t xml:space="preserve">copia de Expediente N </w:t>
      </w:r>
      <w:r>
        <w:rPr>
          <w:vertAlign w:val="superscript"/>
        </w:rPr>
        <w:t xml:space="preserve">O </w:t>
      </w:r>
      <w:r>
        <w:t>2020-9-1-0002067</w:t>
      </w:r>
    </w:p>
    <w:p w14:paraId="5EB5F046" w14:textId="77777777" w:rsidR="00AC0B08" w:rsidRDefault="00966107">
      <w:pPr>
        <w:numPr>
          <w:ilvl w:val="0"/>
          <w:numId w:val="1"/>
        </w:numPr>
        <w:spacing w:after="177" w:line="259" w:lineRule="auto"/>
        <w:ind w:right="14" w:hanging="295"/>
      </w:pPr>
      <w:r>
        <w:t>Copia de Expediente N</w:t>
      </w:r>
      <w:r>
        <w:rPr>
          <w:vertAlign w:val="superscript"/>
        </w:rPr>
        <w:t xml:space="preserve">O </w:t>
      </w:r>
      <w:r>
        <w:t>2020 — 9-1-000481</w:t>
      </w:r>
    </w:p>
    <w:p w14:paraId="04CF96B5" w14:textId="77777777" w:rsidR="00AC0B08" w:rsidRDefault="00966107">
      <w:pPr>
        <w:numPr>
          <w:ilvl w:val="0"/>
          <w:numId w:val="1"/>
        </w:numPr>
        <w:spacing w:after="179" w:line="259" w:lineRule="auto"/>
        <w:ind w:right="14" w:hanging="295"/>
      </w:pPr>
      <w:r>
        <w:t>copia de Expediente N</w:t>
      </w:r>
      <w:r>
        <w:rPr>
          <w:vertAlign w:val="superscript"/>
        </w:rPr>
        <w:t xml:space="preserve">O </w:t>
      </w:r>
      <w:r>
        <w:t>2020-9-1-000739</w:t>
      </w:r>
    </w:p>
    <w:p w14:paraId="2AD55919" w14:textId="77777777" w:rsidR="00AC0B08" w:rsidRDefault="00966107">
      <w:pPr>
        <w:numPr>
          <w:ilvl w:val="0"/>
          <w:numId w:val="1"/>
        </w:numPr>
        <w:spacing w:after="157" w:line="259" w:lineRule="auto"/>
        <w:ind w:right="14" w:hanging="295"/>
      </w:pPr>
      <w:r>
        <w:t>copia de Expediente N</w:t>
      </w:r>
      <w:r>
        <w:rPr>
          <w:vertAlign w:val="superscript"/>
        </w:rPr>
        <w:t xml:space="preserve">O </w:t>
      </w:r>
      <w:r>
        <w:t>2021-9-1- 000735</w:t>
      </w:r>
    </w:p>
    <w:p w14:paraId="55C7E886" w14:textId="77777777" w:rsidR="00AC0B08" w:rsidRDefault="00966107">
      <w:pPr>
        <w:numPr>
          <w:ilvl w:val="0"/>
          <w:numId w:val="1"/>
        </w:numPr>
        <w:spacing w:line="259" w:lineRule="auto"/>
        <w:ind w:right="14" w:hanging="295"/>
      </w:pPr>
      <w:r>
        <w:t>Artículos periodísticos varios relativos a los hechos denunciados.</w:t>
      </w:r>
    </w:p>
    <w:p w14:paraId="713051B7" w14:textId="77777777" w:rsidR="00AC0B08" w:rsidRDefault="00966107">
      <w:pPr>
        <w:numPr>
          <w:ilvl w:val="1"/>
          <w:numId w:val="1"/>
        </w:numPr>
        <w:spacing w:after="186" w:line="259" w:lineRule="auto"/>
        <w:ind w:right="14" w:hanging="367"/>
      </w:pPr>
      <w:r>
        <w:rPr>
          <w:sz w:val="28"/>
        </w:rPr>
        <w:t>Testimonial:</w:t>
      </w:r>
    </w:p>
    <w:p w14:paraId="65BBCF0A" w14:textId="77777777" w:rsidR="00AC0B08" w:rsidRDefault="00966107">
      <w:pPr>
        <w:spacing w:after="27"/>
        <w:ind w:right="14"/>
      </w:pPr>
      <w:r>
        <w:lastRenderedPageBreak/>
        <w:t xml:space="preserve">Sin ánimo de pretender ingresar en el poder-deber de la Fiscalía de determinar la probanza a diligenciarse, solicitamos se tenga en cuenta la pertinencia de la declaración del Dr. Martín Pérez Banchero, ex </w:t>
      </w:r>
      <w:proofErr w:type="gramStart"/>
      <w:r>
        <w:t>Director</w:t>
      </w:r>
      <w:proofErr w:type="gramEnd"/>
      <w:r>
        <w:t xml:space="preserve"> de Turismo (con domicilio laboral en Aven</w:t>
      </w:r>
      <w:r>
        <w:t>ida de Las Leyes, Parlamento Nacional, hasta donde sabemos), como denunciante público de los graves hechos denunciados.</w:t>
      </w:r>
    </w:p>
    <w:p w14:paraId="7102B2AF" w14:textId="77777777" w:rsidR="00AC0B08" w:rsidRDefault="00966107">
      <w:pPr>
        <w:numPr>
          <w:ilvl w:val="1"/>
          <w:numId w:val="1"/>
        </w:numPr>
        <w:spacing w:after="182" w:line="259" w:lineRule="auto"/>
        <w:ind w:right="14" w:hanging="367"/>
      </w:pPr>
      <w:r>
        <w:rPr>
          <w:sz w:val="28"/>
        </w:rPr>
        <w:t>Por informe</w:t>
      </w:r>
    </w:p>
    <w:p w14:paraId="0F8DCDAD" w14:textId="77777777" w:rsidR="00AC0B08" w:rsidRDefault="00966107">
      <w:pPr>
        <w:spacing w:after="571"/>
        <w:ind w:right="14"/>
      </w:pPr>
      <w:r>
        <w:t>Se solicite al Ministerio de Turismo remita testimonio de todos los expedientes relacionados a compras de publicidad iniciad</w:t>
      </w:r>
      <w:r>
        <w:t xml:space="preserve">os entre el 1 </w:t>
      </w:r>
      <w:r>
        <w:rPr>
          <w:vertAlign w:val="superscript"/>
        </w:rPr>
        <w:t xml:space="preserve">0 </w:t>
      </w:r>
      <w:r>
        <w:t xml:space="preserve">de marzo de 2020 al 1 </w:t>
      </w:r>
      <w:r>
        <w:rPr>
          <w:vertAlign w:val="superscript"/>
        </w:rPr>
        <w:t xml:space="preserve">0 </w:t>
      </w:r>
      <w:r>
        <w:t>de julio de 2021</w:t>
      </w:r>
    </w:p>
    <w:p w14:paraId="4E18211E" w14:textId="77777777" w:rsidR="00AC0B08" w:rsidRDefault="00966107">
      <w:pPr>
        <w:spacing w:after="114" w:line="265" w:lineRule="auto"/>
        <w:ind w:left="392" w:hanging="10"/>
      </w:pPr>
      <w:r>
        <w:rPr>
          <w:sz w:val="30"/>
        </w:rPr>
        <w:t>7. DERECHO Y PETITORIO</w:t>
      </w:r>
    </w:p>
    <w:p w14:paraId="0EBB4961" w14:textId="77777777" w:rsidR="00AC0B08" w:rsidRDefault="00966107">
      <w:pPr>
        <w:spacing w:after="59"/>
        <w:ind w:right="14"/>
      </w:pPr>
      <w:r>
        <w:t>Fundamos nuestro derecho en lo previsto en los artículos 79, 81, 256 a 258, siguientes y concordantes del CPP y 1, 162, siguientes y concordantes del Código Penal.</w:t>
      </w:r>
    </w:p>
    <w:p w14:paraId="41FABAAC" w14:textId="77777777" w:rsidR="00AC0B08" w:rsidRDefault="00966107">
      <w:pPr>
        <w:spacing w:after="155" w:line="265" w:lineRule="auto"/>
        <w:ind w:left="737" w:hanging="10"/>
      </w:pPr>
      <w:r>
        <w:rPr>
          <w:sz w:val="30"/>
        </w:rPr>
        <w:t>Por lo expue</w:t>
      </w:r>
      <w:r>
        <w:rPr>
          <w:sz w:val="30"/>
        </w:rPr>
        <w:t>sto al Sr. Fiscal SOLICITAMOS:</w:t>
      </w:r>
    </w:p>
    <w:p w14:paraId="4AD8274F" w14:textId="77777777" w:rsidR="00AC0B08" w:rsidRDefault="00966107">
      <w:pPr>
        <w:numPr>
          <w:ilvl w:val="2"/>
          <w:numId w:val="1"/>
        </w:numPr>
        <w:spacing w:after="55"/>
        <w:ind w:right="14"/>
      </w:pPr>
      <w:r>
        <w:t>Se nos tenga por presentados y por formulada la presente denuncia, por denunciados el domicilio laboral, con los recaudos adjuntos.</w:t>
      </w:r>
    </w:p>
    <w:p w14:paraId="33130C0C" w14:textId="7B8B1702" w:rsidR="00AC0B08" w:rsidRDefault="00966107" w:rsidP="00F95ED0">
      <w:pPr>
        <w:numPr>
          <w:ilvl w:val="2"/>
          <w:numId w:val="1"/>
        </w:numPr>
        <w:ind w:right="14"/>
      </w:pPr>
      <w:r>
        <w:t>Se inicie la investigación judicial, diligenciándose la prueba ofrecida a los efectos de cor</w:t>
      </w:r>
      <w:r>
        <w:t xml:space="preserve">roborar los hechos denunciados, con apariencia delictiva y determinar las eventuales responsabilidades de las personas involucradas. </w:t>
      </w:r>
    </w:p>
    <w:sectPr w:rsidR="00AC0B08" w:rsidSect="00F95ED0">
      <w:pgSz w:w="11902" w:h="16704"/>
      <w:pgMar w:top="1774" w:right="878" w:bottom="770" w:left="27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B5BB" w14:textId="77777777" w:rsidR="00966107" w:rsidRDefault="00966107">
      <w:pPr>
        <w:spacing w:after="0" w:line="240" w:lineRule="auto"/>
      </w:pPr>
      <w:r>
        <w:separator/>
      </w:r>
    </w:p>
  </w:endnote>
  <w:endnote w:type="continuationSeparator" w:id="0">
    <w:p w14:paraId="29EA0F76" w14:textId="77777777" w:rsidR="00966107" w:rsidRDefault="0096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50D4" w14:textId="77777777" w:rsidR="00966107" w:rsidRDefault="00966107">
      <w:pPr>
        <w:spacing w:after="0" w:line="216" w:lineRule="auto"/>
        <w:ind w:left="43" w:hanging="7"/>
        <w:jc w:val="left"/>
      </w:pPr>
      <w:r>
        <w:separator/>
      </w:r>
    </w:p>
  </w:footnote>
  <w:footnote w:type="continuationSeparator" w:id="0">
    <w:p w14:paraId="018FB2D7" w14:textId="77777777" w:rsidR="00966107" w:rsidRDefault="00966107">
      <w:pPr>
        <w:spacing w:after="0" w:line="216" w:lineRule="auto"/>
        <w:ind w:left="43" w:hanging="7"/>
        <w:jc w:val="left"/>
      </w:pPr>
      <w:r>
        <w:continuationSeparator/>
      </w:r>
    </w:p>
  </w:footnote>
  <w:footnote w:id="1">
    <w:p w14:paraId="61CD405F" w14:textId="77777777" w:rsidR="00AC0B08" w:rsidRDefault="00966107">
      <w:pPr>
        <w:pStyle w:val="footnotedescription"/>
        <w:spacing w:line="216" w:lineRule="auto"/>
        <w:ind w:left="43" w:hanging="7"/>
      </w:pPr>
      <w:r>
        <w:rPr>
          <w:rStyle w:val="footnotemark"/>
        </w:rPr>
        <w:footnoteRef/>
      </w:r>
      <w:r>
        <w:t xml:space="preserve"> </w:t>
      </w:r>
      <w:r>
        <w:t xml:space="preserve">https://www.busqueda.com.uy/Secciones/Cardoso-dice-que-compania-de-publicidaddigital-contratada-no-es-de-Estonia-y-que-esta-en-Montevideo-pero-la-empresa-lo-niegauc49298 </w:t>
      </w:r>
      <w:r>
        <w:rPr>
          <w:noProof/>
        </w:rPr>
        <w:drawing>
          <wp:inline distT="0" distB="0" distL="0" distR="0" wp14:anchorId="095270B5" wp14:editId="3ABA948A">
            <wp:extent cx="36576" cy="54863"/>
            <wp:effectExtent l="0" t="0" r="0" b="0"/>
            <wp:docPr id="23807" name="Picture 23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7" name="Picture 23807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https://www.busqueda.com.uy/Secciones/Cardoso-dice-que-compania-de-publicidad</w:t>
      </w:r>
      <w:r>
        <w:t>digital</w:t>
      </w:r>
      <w:r>
        <w:t>-contratada-no-es-de-Estonia-y-que-esta-en-Montevideo-pero-la-empresa-lo-niega-</w:t>
      </w:r>
    </w:p>
  </w:footnote>
  <w:footnote w:id="2">
    <w:p w14:paraId="1A2B6B7C" w14:textId="77777777" w:rsidR="00AC0B08" w:rsidRDefault="00966107">
      <w:pPr>
        <w:pStyle w:val="footnotedescription"/>
        <w:spacing w:line="262" w:lineRule="auto"/>
        <w:ind w:left="338" w:hanging="288"/>
      </w:pPr>
      <w:r>
        <w:rPr>
          <w:rStyle w:val="footnotemark"/>
        </w:rPr>
        <w:footnoteRef/>
      </w:r>
      <w:r>
        <w:t xml:space="preserve"> https://www.elpais.com.uy/informacion/politica/ministro-turismo-dijo-empresa-estoniaretiro-oferta-equivalia-us.html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31CB7"/>
    <w:multiLevelType w:val="hybridMultilevel"/>
    <w:tmpl w:val="B31E3D94"/>
    <w:lvl w:ilvl="0" w:tplc="BD76F0A6">
      <w:start w:val="5"/>
      <w:numFmt w:val="decimal"/>
      <w:pStyle w:val="Ttulo1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F727BBA">
      <w:start w:val="1"/>
      <w:numFmt w:val="lowerLetter"/>
      <w:lvlText w:val="%2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2C8CF0">
      <w:start w:val="1"/>
      <w:numFmt w:val="lowerRoman"/>
      <w:lvlText w:val="%3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F6FBA6">
      <w:start w:val="1"/>
      <w:numFmt w:val="decimal"/>
      <w:lvlText w:val="%4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B42092">
      <w:start w:val="1"/>
      <w:numFmt w:val="lowerLetter"/>
      <w:lvlText w:val="%5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8C49F8E">
      <w:start w:val="1"/>
      <w:numFmt w:val="lowerRoman"/>
      <w:lvlText w:val="%6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06C8E2">
      <w:start w:val="1"/>
      <w:numFmt w:val="decimal"/>
      <w:lvlText w:val="%7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DAE6B8">
      <w:start w:val="1"/>
      <w:numFmt w:val="lowerLetter"/>
      <w:lvlText w:val="%8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86B6FA">
      <w:start w:val="1"/>
      <w:numFmt w:val="lowerRoman"/>
      <w:lvlText w:val="%9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E52BE"/>
    <w:multiLevelType w:val="hybridMultilevel"/>
    <w:tmpl w:val="1A20A77C"/>
    <w:lvl w:ilvl="0" w:tplc="BF164ED0">
      <w:start w:val="1"/>
      <w:numFmt w:val="lowerLetter"/>
      <w:lvlText w:val="%1)"/>
      <w:lvlJc w:val="left"/>
      <w:pPr>
        <w:ind w:left="3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51AB00C">
      <w:start w:val="2"/>
      <w:numFmt w:val="decimal"/>
      <w:lvlText w:val="%2."/>
      <w:lvlJc w:val="left"/>
      <w:pPr>
        <w:ind w:left="7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161C1A">
      <w:start w:val="1"/>
      <w:numFmt w:val="decimal"/>
      <w:lvlText w:val="%3)"/>
      <w:lvlJc w:val="left"/>
      <w:pPr>
        <w:ind w:left="1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6ACB82">
      <w:start w:val="1"/>
      <w:numFmt w:val="decimal"/>
      <w:lvlText w:val="%4"/>
      <w:lvlJc w:val="left"/>
      <w:pPr>
        <w:ind w:left="17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944862">
      <w:start w:val="1"/>
      <w:numFmt w:val="lowerLetter"/>
      <w:lvlText w:val="%5"/>
      <w:lvlJc w:val="left"/>
      <w:pPr>
        <w:ind w:left="25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0CE4F96">
      <w:start w:val="1"/>
      <w:numFmt w:val="lowerRoman"/>
      <w:lvlText w:val="%6"/>
      <w:lvlJc w:val="left"/>
      <w:pPr>
        <w:ind w:left="32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56DA4A">
      <w:start w:val="1"/>
      <w:numFmt w:val="decimal"/>
      <w:lvlText w:val="%7"/>
      <w:lvlJc w:val="left"/>
      <w:pPr>
        <w:ind w:left="39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04C952">
      <w:start w:val="1"/>
      <w:numFmt w:val="lowerLetter"/>
      <w:lvlText w:val="%8"/>
      <w:lvlJc w:val="left"/>
      <w:pPr>
        <w:ind w:left="46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60E308C">
      <w:start w:val="1"/>
      <w:numFmt w:val="lowerRoman"/>
      <w:lvlText w:val="%9"/>
      <w:lvlJc w:val="left"/>
      <w:pPr>
        <w:ind w:left="53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08"/>
    <w:rsid w:val="00966107"/>
    <w:rsid w:val="00AC0B08"/>
    <w:rsid w:val="00F9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B1F1"/>
  <w15:docId w15:val="{9DF15FAB-46BF-49D3-A6C2-3A510E2C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368" w:lineRule="auto"/>
      <w:ind w:left="14" w:firstLine="717"/>
      <w:jc w:val="both"/>
    </w:pPr>
    <w:rPr>
      <w:rFonts w:ascii="Courier New" w:eastAsia="Courier New" w:hAnsi="Courier New" w:cs="Courier New"/>
      <w:color w:val="000000"/>
      <w:sz w:val="2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2"/>
      </w:numPr>
      <w:spacing w:after="158"/>
      <w:ind w:left="32" w:hanging="10"/>
      <w:jc w:val="right"/>
      <w:outlineLvl w:val="0"/>
    </w:pPr>
    <w:rPr>
      <w:rFonts w:ascii="Courier New" w:eastAsia="Courier New" w:hAnsi="Courier New" w:cs="Courier New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9" w:lineRule="auto"/>
      <w:ind w:left="191" w:hanging="148"/>
    </w:pPr>
    <w:rPr>
      <w:rFonts w:ascii="Courier New" w:eastAsia="Courier New" w:hAnsi="Courier New" w:cs="Courier New"/>
      <w:color w:val="000000"/>
    </w:rPr>
  </w:style>
  <w:style w:type="character" w:customStyle="1" w:styleId="footnotedescriptionChar">
    <w:name w:val="footnote description Char"/>
    <w:link w:val="footnotedescription"/>
    <w:rPr>
      <w:rFonts w:ascii="Courier New" w:eastAsia="Courier New" w:hAnsi="Courier New" w:cs="Courier New"/>
      <w:color w:val="000000"/>
      <w:sz w:val="22"/>
    </w:rPr>
  </w:style>
  <w:style w:type="character" w:customStyle="1" w:styleId="Ttulo1Car">
    <w:name w:val="Título 1 Car"/>
    <w:link w:val="Ttulo1"/>
    <w:rPr>
      <w:rFonts w:ascii="Courier New" w:eastAsia="Courier New" w:hAnsi="Courier New" w:cs="Courier New"/>
      <w:color w:val="000000"/>
      <w:sz w:val="32"/>
    </w:rPr>
  </w:style>
  <w:style w:type="character" w:customStyle="1" w:styleId="footnotemark">
    <w:name w:val="footnote mark"/>
    <w:hidden/>
    <w:rPr>
      <w:rFonts w:ascii="Courier New" w:eastAsia="Courier New" w:hAnsi="Courier New" w:cs="Courier New"/>
      <w:color w:val="000000"/>
      <w:sz w:val="1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4345</Words>
  <Characters>23902</Characters>
  <Application>Microsoft Office Word</Application>
  <DocSecurity>0</DocSecurity>
  <Lines>199</Lines>
  <Paragraphs>56</Paragraphs>
  <ScaleCrop>false</ScaleCrop>
  <Company/>
  <LinksUpToDate>false</LinksUpToDate>
  <CharactersWithSpaces>28191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Almada de Mora</dc:creator>
  <cp:keywords/>
  <cp:lastModifiedBy>Ricardo Almada de Mora</cp:lastModifiedBy>
  <cp:revision>3</cp:revision>
  <dcterms:created xsi:type="dcterms:W3CDTF">2021-09-17T03:26:00Z</dcterms:created>
  <dcterms:modified xsi:type="dcterms:W3CDTF">2021-09-17T03:26:00Z</dcterms:modified>
</cp:coreProperties>
</file>